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3793"/>
      </w:tblGrid>
      <w:tr w:rsidR="00D9172F" w:rsidRPr="00D9172F" w:rsidTr="003205E1">
        <w:tc>
          <w:tcPr>
            <w:tcW w:w="5495" w:type="dxa"/>
            <w:tcBorders>
              <w:top w:val="nil"/>
              <w:left w:val="nil"/>
              <w:bottom w:val="nil"/>
              <w:right w:val="nil"/>
            </w:tcBorders>
          </w:tcPr>
          <w:p w:rsidR="00D9172F" w:rsidRPr="00D9172F" w:rsidRDefault="00D9172F" w:rsidP="00D9172F">
            <w:pPr>
              <w:widowControl w:val="0"/>
              <w:autoSpaceDE w:val="0"/>
              <w:autoSpaceDN w:val="0"/>
              <w:ind w:right="397"/>
              <w:jc w:val="both"/>
              <w:rPr>
                <w:rFonts w:eastAsia="Times New Roman"/>
                <w:b/>
                <w:bCs/>
              </w:rPr>
            </w:pPr>
          </w:p>
          <w:p w:rsidR="00D9172F" w:rsidRPr="00D9172F" w:rsidRDefault="00D9172F" w:rsidP="00D9172F">
            <w:pPr>
              <w:widowControl w:val="0"/>
              <w:autoSpaceDE w:val="0"/>
              <w:autoSpaceDN w:val="0"/>
              <w:ind w:right="397"/>
              <w:jc w:val="both"/>
              <w:rPr>
                <w:rFonts w:eastAsia="Times New Roman"/>
                <w:b/>
                <w:bCs/>
              </w:rPr>
            </w:pPr>
            <w:r w:rsidRPr="00D9172F">
              <w:rPr>
                <w:rFonts w:eastAsia="Times New Roman"/>
                <w:b/>
                <w:bCs/>
              </w:rPr>
              <w:t>East Area Planning Committee</w:t>
            </w:r>
          </w:p>
        </w:tc>
        <w:tc>
          <w:tcPr>
            <w:tcW w:w="3793" w:type="dxa"/>
            <w:tcBorders>
              <w:top w:val="nil"/>
              <w:left w:val="nil"/>
              <w:bottom w:val="nil"/>
              <w:right w:val="nil"/>
            </w:tcBorders>
          </w:tcPr>
          <w:p w:rsidR="00D9172F" w:rsidRPr="00D9172F" w:rsidRDefault="00D9172F" w:rsidP="00D9172F">
            <w:pPr>
              <w:widowControl w:val="0"/>
              <w:autoSpaceDE w:val="0"/>
              <w:autoSpaceDN w:val="0"/>
              <w:ind w:right="397"/>
              <w:jc w:val="both"/>
              <w:rPr>
                <w:rFonts w:eastAsia="Times New Roman"/>
              </w:rPr>
            </w:pPr>
          </w:p>
          <w:p w:rsidR="00D9172F" w:rsidRPr="00D9172F" w:rsidRDefault="00D9172F" w:rsidP="00D9172F">
            <w:pPr>
              <w:widowControl w:val="0"/>
              <w:autoSpaceDE w:val="0"/>
              <w:autoSpaceDN w:val="0"/>
              <w:ind w:right="397"/>
              <w:jc w:val="both"/>
              <w:rPr>
                <w:rFonts w:eastAsia="Times New Roman"/>
              </w:rPr>
            </w:pPr>
            <w:r>
              <w:rPr>
                <w:rFonts w:eastAsia="Times New Roman"/>
              </w:rPr>
              <w:t>6</w:t>
            </w:r>
            <w:r w:rsidRPr="00D9172F">
              <w:rPr>
                <w:rFonts w:eastAsia="Times New Roman"/>
                <w:vertAlign w:val="superscript"/>
              </w:rPr>
              <w:t>th</w:t>
            </w:r>
            <w:r>
              <w:rPr>
                <w:rFonts w:eastAsia="Times New Roman"/>
              </w:rPr>
              <w:t xml:space="preserve"> April 2016</w:t>
            </w:r>
          </w:p>
        </w:tc>
      </w:tr>
    </w:tbl>
    <w:p w:rsidR="00D9172F" w:rsidRPr="00D9172F" w:rsidRDefault="00D9172F" w:rsidP="00D9172F">
      <w:pPr>
        <w:autoSpaceDE w:val="0"/>
        <w:autoSpaceDN w:val="0"/>
        <w:rPr>
          <w:rFonts w:eastAsia="Times New Roman"/>
        </w:rPr>
      </w:pPr>
    </w:p>
    <w:p w:rsidR="00D9172F" w:rsidRPr="00D9172F" w:rsidRDefault="00D9172F" w:rsidP="00D9172F">
      <w:pPr>
        <w:autoSpaceDE w:val="0"/>
        <w:autoSpaceDN w:val="0"/>
        <w:rPr>
          <w:rFonts w:eastAsia="Times New Roman"/>
        </w:rPr>
      </w:pPr>
    </w:p>
    <w:tbl>
      <w:tblPr>
        <w:tblW w:w="0" w:type="auto"/>
        <w:tblLook w:val="0000" w:firstRow="0" w:lastRow="0" w:firstColumn="0" w:lastColumn="0" w:noHBand="0" w:noVBand="0"/>
      </w:tblPr>
      <w:tblGrid>
        <w:gridCol w:w="2651"/>
        <w:gridCol w:w="6591"/>
      </w:tblGrid>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rPr>
            </w:pPr>
            <w:r w:rsidRPr="00D9172F">
              <w:rPr>
                <w:rFonts w:eastAsia="Times New Roman"/>
                <w:b/>
                <w:bCs/>
              </w:rPr>
              <w:t>Application Number:</w:t>
            </w: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rPr>
              <w:t>15/02542/OUT</w:t>
            </w: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rPr>
            </w:pP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rPr>
            </w:pPr>
            <w:r w:rsidRPr="00D9172F">
              <w:rPr>
                <w:rFonts w:eastAsia="Times New Roman"/>
                <w:b/>
                <w:bCs/>
              </w:rPr>
              <w:t>Decision Due by:</w:t>
            </w: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rPr>
              <w:t>15</w:t>
            </w:r>
            <w:r w:rsidRPr="00D9172F">
              <w:rPr>
                <w:rFonts w:eastAsia="Times New Roman"/>
                <w:vertAlign w:val="superscript"/>
              </w:rPr>
              <w:t>th</w:t>
            </w:r>
            <w:r w:rsidRPr="00D9172F">
              <w:rPr>
                <w:rFonts w:eastAsia="Times New Roman"/>
              </w:rPr>
              <w:t xml:space="preserve"> December 2015</w:t>
            </w: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rPr>
            </w:pP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b/>
                <w:bCs/>
              </w:rPr>
            </w:pPr>
            <w:r w:rsidRPr="00D9172F">
              <w:rPr>
                <w:rFonts w:eastAsia="Times New Roman"/>
                <w:b/>
                <w:bCs/>
              </w:rPr>
              <w:t>Proposal:</w:t>
            </w: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rPr>
              <w:t>Change of use of Canterbury House, Adams House (Block B) and Rivera House (Block C) from Class B1 Business Use to 36 student study rooms with ancillary facilities. Outline application (seeking access, layout and scale) for 3 storey building (Block A) to provide 24 student study rooms with ancillary facilities.</w:t>
            </w: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b/>
                <w:bCs/>
              </w:rPr>
            </w:pP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b/>
                <w:bCs/>
              </w:rPr>
            </w:pPr>
            <w:r w:rsidRPr="00D9172F">
              <w:rPr>
                <w:rFonts w:eastAsia="Times New Roman"/>
                <w:b/>
                <w:bCs/>
              </w:rPr>
              <w:t>Site Address:</w:t>
            </w:r>
          </w:p>
        </w:tc>
        <w:tc>
          <w:tcPr>
            <w:tcW w:w="6627" w:type="dxa"/>
            <w:tcBorders>
              <w:top w:val="nil"/>
              <w:left w:val="nil"/>
              <w:bottom w:val="nil"/>
              <w:right w:val="nil"/>
            </w:tcBorders>
          </w:tcPr>
          <w:p w:rsidR="00D9172F" w:rsidRPr="00D9172F" w:rsidRDefault="00D9172F" w:rsidP="00681A63">
            <w:pPr>
              <w:autoSpaceDE w:val="0"/>
              <w:autoSpaceDN w:val="0"/>
              <w:rPr>
                <w:rFonts w:eastAsia="Times New Roman"/>
                <w:b/>
              </w:rPr>
            </w:pPr>
            <w:r w:rsidRPr="00D9172F">
              <w:rPr>
                <w:rFonts w:eastAsia="Times New Roman"/>
              </w:rPr>
              <w:t>Canterbury House, Rivera House and Adams House and Vacant Plot on Street Frontage</w:t>
            </w:r>
            <w:r w:rsidR="00681A63">
              <w:rPr>
                <w:rFonts w:eastAsia="Times New Roman"/>
              </w:rPr>
              <w:t>, Cowley Road,</w:t>
            </w: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rPr>
            </w:pP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p>
        </w:tc>
      </w:tr>
      <w:tr w:rsidR="00D9172F" w:rsidRPr="00D9172F" w:rsidTr="003205E1">
        <w:tc>
          <w:tcPr>
            <w:tcW w:w="2660" w:type="dxa"/>
            <w:tcBorders>
              <w:top w:val="nil"/>
              <w:left w:val="nil"/>
              <w:bottom w:val="nil"/>
              <w:right w:val="nil"/>
            </w:tcBorders>
          </w:tcPr>
          <w:p w:rsidR="00D9172F" w:rsidRPr="00D9172F" w:rsidRDefault="00D9172F" w:rsidP="00D9172F">
            <w:pPr>
              <w:autoSpaceDE w:val="0"/>
              <w:autoSpaceDN w:val="0"/>
              <w:jc w:val="right"/>
              <w:rPr>
                <w:rFonts w:eastAsia="Times New Roman"/>
                <w:b/>
                <w:bCs/>
              </w:rPr>
            </w:pPr>
            <w:r w:rsidRPr="00D9172F">
              <w:rPr>
                <w:rFonts w:eastAsia="Times New Roman"/>
                <w:b/>
                <w:bCs/>
              </w:rPr>
              <w:t>Ward:</w:t>
            </w:r>
          </w:p>
        </w:tc>
        <w:tc>
          <w:tcPr>
            <w:tcW w:w="6627"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rPr>
              <w:t>Cowley Marsh Ward</w:t>
            </w:r>
          </w:p>
        </w:tc>
      </w:tr>
    </w:tbl>
    <w:p w:rsidR="00D9172F" w:rsidRPr="00D9172F" w:rsidRDefault="00D9172F" w:rsidP="00D9172F">
      <w:pPr>
        <w:autoSpaceDE w:val="0"/>
        <w:autoSpaceDN w:val="0"/>
        <w:rPr>
          <w:rFonts w:eastAsia="Times New Roman"/>
        </w:rPr>
      </w:pPr>
    </w:p>
    <w:tbl>
      <w:tblPr>
        <w:tblW w:w="9288" w:type="dxa"/>
        <w:tblLayout w:type="fixed"/>
        <w:tblLook w:val="0000" w:firstRow="0" w:lastRow="0" w:firstColumn="0" w:lastColumn="0" w:noHBand="0" w:noVBand="0"/>
      </w:tblPr>
      <w:tblGrid>
        <w:gridCol w:w="1101"/>
        <w:gridCol w:w="3543"/>
        <w:gridCol w:w="1418"/>
        <w:gridCol w:w="3226"/>
      </w:tblGrid>
      <w:tr w:rsidR="00D9172F" w:rsidRPr="00D9172F" w:rsidTr="003205E1">
        <w:tc>
          <w:tcPr>
            <w:tcW w:w="1101"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b/>
                <w:bCs/>
              </w:rPr>
              <w:t>Agent:</w:t>
            </w:r>
            <w:r w:rsidRPr="00D9172F">
              <w:rPr>
                <w:rFonts w:eastAsia="Times New Roman"/>
              </w:rPr>
              <w:t xml:space="preserve"> </w:t>
            </w:r>
          </w:p>
        </w:tc>
        <w:tc>
          <w:tcPr>
            <w:tcW w:w="3543"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rPr>
              <w:t>JPPC</w:t>
            </w:r>
          </w:p>
        </w:tc>
        <w:tc>
          <w:tcPr>
            <w:tcW w:w="1418" w:type="dxa"/>
            <w:tcBorders>
              <w:top w:val="nil"/>
              <w:left w:val="nil"/>
              <w:bottom w:val="nil"/>
              <w:right w:val="nil"/>
            </w:tcBorders>
          </w:tcPr>
          <w:p w:rsidR="00D9172F" w:rsidRPr="00D9172F" w:rsidRDefault="00D9172F" w:rsidP="00D9172F">
            <w:pPr>
              <w:autoSpaceDE w:val="0"/>
              <w:autoSpaceDN w:val="0"/>
              <w:rPr>
                <w:rFonts w:eastAsia="Times New Roman"/>
              </w:rPr>
            </w:pPr>
            <w:r w:rsidRPr="00D9172F">
              <w:rPr>
                <w:rFonts w:eastAsia="Times New Roman"/>
                <w:b/>
                <w:bCs/>
              </w:rPr>
              <w:t>Applicant:</w:t>
            </w:r>
            <w:r w:rsidRPr="00D9172F">
              <w:rPr>
                <w:rFonts w:eastAsia="Times New Roman"/>
              </w:rPr>
              <w:t xml:space="preserve"> </w:t>
            </w:r>
          </w:p>
        </w:tc>
        <w:tc>
          <w:tcPr>
            <w:tcW w:w="3226" w:type="dxa"/>
            <w:tcBorders>
              <w:top w:val="nil"/>
              <w:left w:val="nil"/>
              <w:bottom w:val="nil"/>
              <w:right w:val="nil"/>
            </w:tcBorders>
          </w:tcPr>
          <w:p w:rsidR="00D9172F" w:rsidRPr="00D9172F" w:rsidRDefault="00D9172F" w:rsidP="00D9172F">
            <w:pPr>
              <w:autoSpaceDE w:val="0"/>
              <w:autoSpaceDN w:val="0"/>
              <w:rPr>
                <w:rFonts w:eastAsia="Times New Roman"/>
              </w:rPr>
            </w:pPr>
            <w:proofErr w:type="spellStart"/>
            <w:r w:rsidRPr="00D9172F">
              <w:rPr>
                <w:rFonts w:eastAsia="Times New Roman"/>
              </w:rPr>
              <w:t>Cantay</w:t>
            </w:r>
            <w:proofErr w:type="spellEnd"/>
            <w:r w:rsidRPr="00D9172F">
              <w:rPr>
                <w:rFonts w:eastAsia="Times New Roman"/>
              </w:rPr>
              <w:t xml:space="preserve"> Estates Ltd</w:t>
            </w:r>
          </w:p>
        </w:tc>
      </w:tr>
    </w:tbl>
    <w:p w:rsidR="00D9172F" w:rsidRPr="00D9172F" w:rsidRDefault="00D9172F" w:rsidP="00D9172F">
      <w:pPr>
        <w:pBdr>
          <w:bottom w:val="single" w:sz="4" w:space="1" w:color="auto"/>
        </w:pBdr>
        <w:autoSpaceDE w:val="0"/>
        <w:autoSpaceDN w:val="0"/>
        <w:rPr>
          <w:rFonts w:eastAsia="Times New Roman"/>
        </w:rPr>
      </w:pPr>
    </w:p>
    <w:p w:rsidR="00D9172F" w:rsidRDefault="00D9172F" w:rsidP="00D9172F">
      <w:pPr>
        <w:widowControl w:val="0"/>
        <w:autoSpaceDE w:val="0"/>
        <w:autoSpaceDN w:val="0"/>
        <w:rPr>
          <w:rFonts w:eastAsia="Times New Roman"/>
        </w:rPr>
      </w:pPr>
    </w:p>
    <w:p w:rsidR="00951DFB" w:rsidRDefault="00951DFB" w:rsidP="00D9172F">
      <w:pPr>
        <w:widowControl w:val="0"/>
        <w:autoSpaceDE w:val="0"/>
        <w:autoSpaceDN w:val="0"/>
        <w:rPr>
          <w:rFonts w:eastAsia="Times New Roman"/>
        </w:rPr>
      </w:pPr>
      <w:r>
        <w:rPr>
          <w:rFonts w:eastAsia="Times New Roman"/>
          <w:b/>
        </w:rPr>
        <w:t xml:space="preserve">Recommendation: </w:t>
      </w:r>
    </w:p>
    <w:p w:rsidR="00681A63" w:rsidRDefault="00681A63" w:rsidP="00D9172F">
      <w:pPr>
        <w:widowControl w:val="0"/>
        <w:autoSpaceDE w:val="0"/>
        <w:autoSpaceDN w:val="0"/>
        <w:rPr>
          <w:rFonts w:eastAsia="Times New Roman"/>
        </w:rPr>
      </w:pPr>
    </w:p>
    <w:p w:rsidR="00951DFB" w:rsidRPr="009D3D9B" w:rsidRDefault="00951DFB" w:rsidP="009D3D9B">
      <w:pPr>
        <w:widowControl w:val="0"/>
        <w:autoSpaceDE w:val="0"/>
        <w:autoSpaceDN w:val="0"/>
        <w:ind w:left="720"/>
        <w:rPr>
          <w:rFonts w:eastAsia="Times New Roman"/>
        </w:rPr>
      </w:pPr>
      <w:r w:rsidRPr="009D3D9B">
        <w:rPr>
          <w:rFonts w:eastAsia="Times New Roman"/>
        </w:rPr>
        <w:t>Officers have revised their recommendation in light of recent appeal decision</w:t>
      </w:r>
      <w:r w:rsidR="00236954" w:rsidRPr="009D3D9B">
        <w:rPr>
          <w:rFonts w:eastAsia="Times New Roman"/>
        </w:rPr>
        <w:t>s</w:t>
      </w:r>
      <w:r w:rsidRPr="009D3D9B">
        <w:rPr>
          <w:rFonts w:eastAsia="Times New Roman"/>
        </w:rPr>
        <w:t xml:space="preserve"> and therefore recommend </w:t>
      </w:r>
      <w:r w:rsidR="006A795D" w:rsidRPr="009D3D9B">
        <w:rPr>
          <w:rFonts w:eastAsia="Times New Roman"/>
        </w:rPr>
        <w:t xml:space="preserve">that the </w:t>
      </w:r>
      <w:r w:rsidRPr="009D3D9B">
        <w:rPr>
          <w:rFonts w:eastAsia="Times New Roman"/>
        </w:rPr>
        <w:t xml:space="preserve">East Area Planning Committee </w:t>
      </w:r>
      <w:r w:rsidR="006A795D" w:rsidRPr="009D3D9B">
        <w:rPr>
          <w:rFonts w:eastAsia="Times New Roman"/>
        </w:rPr>
        <w:t xml:space="preserve">resolve to </w:t>
      </w:r>
      <w:r w:rsidRPr="009D3D9B">
        <w:rPr>
          <w:rFonts w:eastAsia="Times New Roman"/>
        </w:rPr>
        <w:t xml:space="preserve">approve this hybrid application for the </w:t>
      </w:r>
      <w:r w:rsidR="007833F9">
        <w:rPr>
          <w:rFonts w:eastAsia="Times New Roman"/>
        </w:rPr>
        <w:t xml:space="preserve">following </w:t>
      </w:r>
      <w:r w:rsidRPr="009D3D9B">
        <w:rPr>
          <w:rFonts w:eastAsia="Times New Roman"/>
        </w:rPr>
        <w:t xml:space="preserve">reasons </w:t>
      </w:r>
      <w:r w:rsidR="007833F9">
        <w:rPr>
          <w:rFonts w:eastAsia="Times New Roman"/>
        </w:rPr>
        <w:t>a</w:t>
      </w:r>
      <w:r w:rsidR="00236954" w:rsidRPr="009D3D9B">
        <w:rPr>
          <w:rFonts w:eastAsia="Times New Roman"/>
        </w:rPr>
        <w:t xml:space="preserve">nd subject to and including </w:t>
      </w:r>
      <w:r w:rsidR="007833F9">
        <w:rPr>
          <w:rFonts w:eastAsia="Times New Roman"/>
        </w:rPr>
        <w:t xml:space="preserve">the listed </w:t>
      </w:r>
      <w:r w:rsidR="00236954" w:rsidRPr="009D3D9B">
        <w:rPr>
          <w:rFonts w:eastAsia="Times New Roman"/>
        </w:rPr>
        <w:t xml:space="preserve">conditions </w:t>
      </w:r>
      <w:r w:rsidRPr="009D3D9B">
        <w:rPr>
          <w:rFonts w:eastAsia="Times New Roman"/>
        </w:rPr>
        <w:t xml:space="preserve">and the </w:t>
      </w:r>
      <w:r w:rsidR="006A795D" w:rsidRPr="009D3D9B">
        <w:rPr>
          <w:rFonts w:eastAsia="Times New Roman"/>
        </w:rPr>
        <w:t xml:space="preserve">satisfactory completion of a S106 legal </w:t>
      </w:r>
      <w:r w:rsidRPr="009D3D9B">
        <w:rPr>
          <w:rFonts w:eastAsia="Times New Roman"/>
        </w:rPr>
        <w:t>agreement</w:t>
      </w:r>
      <w:r w:rsidR="006A795D" w:rsidRPr="009D3D9B">
        <w:rPr>
          <w:rFonts w:eastAsia="Times New Roman"/>
        </w:rPr>
        <w:t>.</w:t>
      </w:r>
      <w:r w:rsidRPr="009D3D9B">
        <w:rPr>
          <w:rFonts w:eastAsia="Times New Roman"/>
        </w:rPr>
        <w:t xml:space="preserve"> </w:t>
      </w:r>
    </w:p>
    <w:p w:rsidR="00D9172F" w:rsidRDefault="00D9172F" w:rsidP="008A22C6">
      <w:bookmarkStart w:id="0" w:name="_GoBack"/>
      <w:bookmarkEnd w:id="0"/>
    </w:p>
    <w:p w:rsidR="005E7813" w:rsidRDefault="005E7813" w:rsidP="005E7813">
      <w:pPr>
        <w:ind w:firstLine="720"/>
        <w:rPr>
          <w:b/>
        </w:rPr>
      </w:pPr>
      <w:r>
        <w:rPr>
          <w:b/>
        </w:rPr>
        <w:t>Reasons:</w:t>
      </w:r>
    </w:p>
    <w:p w:rsidR="005E7813" w:rsidRPr="00B83E5A" w:rsidRDefault="005E7813" w:rsidP="005E7813">
      <w:pPr>
        <w:numPr>
          <w:ilvl w:val="0"/>
          <w:numId w:val="4"/>
        </w:numPr>
      </w:pPr>
      <w:r>
        <w:t xml:space="preserve">The proposed development provides student accommodation in a sustainable and appropriate location that preserves the special character and appearance of Canterbury House which is a non-designated heritage asset and the street scene.  </w:t>
      </w:r>
      <w:r w:rsidRPr="00B83E5A">
        <w:t>There would be no harm to adjoining neighbours.  The proposal accords with the Policies contained within the Local Development Framework and NPPF.</w:t>
      </w:r>
    </w:p>
    <w:p w:rsidR="005E7813" w:rsidRPr="00B83E5A" w:rsidRDefault="005E7813" w:rsidP="005E7813"/>
    <w:p w:rsidR="005E7813" w:rsidRPr="00B83E5A" w:rsidRDefault="005E7813" w:rsidP="005E7813">
      <w:pPr>
        <w:numPr>
          <w:ilvl w:val="0"/>
          <w:numId w:val="5"/>
        </w:numPr>
      </w:pPr>
      <w:r w:rsidRPr="00B83E5A">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5E7813" w:rsidRDefault="005E7813" w:rsidP="005E7813">
      <w:pPr>
        <w:rPr>
          <w:b/>
        </w:rPr>
      </w:pPr>
    </w:p>
    <w:p w:rsidR="005E7813" w:rsidRDefault="005E7813" w:rsidP="005E7813">
      <w:pPr>
        <w:ind w:firstLine="720"/>
      </w:pPr>
      <w:r>
        <w:rPr>
          <w:b/>
        </w:rPr>
        <w:t>Conditions:</w:t>
      </w:r>
    </w:p>
    <w:p w:rsidR="005E7813" w:rsidRDefault="005E7813" w:rsidP="005E7813"/>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Time – outline / reserved matters</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Plans – in accordance with approved plans</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Materials – samples agree prior to construction</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lastRenderedPageBreak/>
        <w:t>Construction Traffic Management Plan – details prior to construction</w:t>
      </w:r>
    </w:p>
    <w:p w:rsidR="005E7813" w:rsidRDefault="005E7813" w:rsidP="005E7813">
      <w:pPr>
        <w:numPr>
          <w:ilvl w:val="0"/>
          <w:numId w:val="3"/>
        </w:numPr>
        <w:autoSpaceDE w:val="0"/>
        <w:autoSpaceDN w:val="0"/>
        <w:rPr>
          <w:rFonts w:eastAsia="Times New Roman"/>
          <w:bCs/>
        </w:rPr>
      </w:pPr>
      <w:r>
        <w:rPr>
          <w:rFonts w:eastAsia="Times New Roman"/>
          <w:bCs/>
        </w:rPr>
        <w:t>Contamination –phased risk assessment</w:t>
      </w:r>
      <w:r w:rsidRPr="00055421">
        <w:rPr>
          <w:rFonts w:eastAsia="Times New Roman"/>
          <w:bCs/>
        </w:rPr>
        <w:t xml:space="preserve"> </w:t>
      </w:r>
      <w:r>
        <w:rPr>
          <w:rFonts w:eastAsia="Times New Roman"/>
          <w:bCs/>
        </w:rPr>
        <w:t>prior to commencement</w:t>
      </w:r>
    </w:p>
    <w:p w:rsidR="005E7813" w:rsidRDefault="005E7813" w:rsidP="005E7813">
      <w:pPr>
        <w:numPr>
          <w:ilvl w:val="0"/>
          <w:numId w:val="3"/>
        </w:numPr>
        <w:autoSpaceDE w:val="0"/>
        <w:autoSpaceDN w:val="0"/>
        <w:rPr>
          <w:rFonts w:eastAsia="Times New Roman"/>
          <w:bCs/>
        </w:rPr>
      </w:pPr>
      <w:r>
        <w:rPr>
          <w:rFonts w:eastAsia="Times New Roman"/>
          <w:bCs/>
        </w:rPr>
        <w:t>Contamination – validation report prior to occupation</w:t>
      </w:r>
    </w:p>
    <w:p w:rsidR="005E7813" w:rsidRDefault="005E7813" w:rsidP="005E7813">
      <w:pPr>
        <w:numPr>
          <w:ilvl w:val="0"/>
          <w:numId w:val="3"/>
        </w:numPr>
        <w:autoSpaceDE w:val="0"/>
        <w:autoSpaceDN w:val="0"/>
        <w:rPr>
          <w:rFonts w:eastAsia="Times New Roman"/>
          <w:bCs/>
        </w:rPr>
      </w:pPr>
      <w:r>
        <w:rPr>
          <w:rFonts w:eastAsia="Times New Roman"/>
          <w:bCs/>
        </w:rPr>
        <w:t>Car parking – as shown, prior to occupation</w:t>
      </w:r>
    </w:p>
    <w:p w:rsidR="005E7813" w:rsidRPr="00055421" w:rsidRDefault="005E7813" w:rsidP="005E7813">
      <w:pPr>
        <w:numPr>
          <w:ilvl w:val="0"/>
          <w:numId w:val="3"/>
        </w:numPr>
        <w:autoSpaceDE w:val="0"/>
        <w:autoSpaceDN w:val="0"/>
        <w:rPr>
          <w:rFonts w:eastAsia="Times New Roman"/>
          <w:bCs/>
        </w:rPr>
      </w:pPr>
      <w:r w:rsidRPr="00055421">
        <w:rPr>
          <w:rFonts w:eastAsia="Times New Roman"/>
          <w:bCs/>
        </w:rPr>
        <w:t>Cycle &amp; bin storage – further details prior to substantial completion</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 xml:space="preserve">Sustainability –details </w:t>
      </w:r>
      <w:r>
        <w:rPr>
          <w:rFonts w:eastAsia="Times New Roman"/>
          <w:bCs/>
        </w:rPr>
        <w:t xml:space="preserve">to be </w:t>
      </w:r>
      <w:r w:rsidRPr="00055421">
        <w:rPr>
          <w:rFonts w:eastAsia="Times New Roman"/>
          <w:bCs/>
        </w:rPr>
        <w:t>submitted</w:t>
      </w:r>
      <w:r>
        <w:rPr>
          <w:rFonts w:eastAsia="Times New Roman"/>
          <w:bCs/>
        </w:rPr>
        <w:t xml:space="preserve"> prior to construction </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SUDS – build in accordance with</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 xml:space="preserve">Landscape plan </w:t>
      </w:r>
      <w:r>
        <w:rPr>
          <w:rFonts w:eastAsia="Times New Roman"/>
          <w:bCs/>
        </w:rPr>
        <w:t>– further hard and soft landscaping details required prior occupation</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Landscape – planting</w:t>
      </w:r>
      <w:r w:rsidRPr="00055421">
        <w:rPr>
          <w:rFonts w:eastAsia="Times New Roman"/>
        </w:rPr>
        <w:t xml:space="preserve"> carry out after completion</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Details of boundary treatment prior to occupation</w:t>
      </w:r>
    </w:p>
    <w:p w:rsidR="005E7813" w:rsidRDefault="005E7813" w:rsidP="005E7813">
      <w:pPr>
        <w:widowControl w:val="0"/>
        <w:numPr>
          <w:ilvl w:val="0"/>
          <w:numId w:val="3"/>
        </w:numPr>
        <w:autoSpaceDE w:val="0"/>
        <w:autoSpaceDN w:val="0"/>
        <w:jc w:val="both"/>
        <w:rPr>
          <w:rFonts w:eastAsia="Times New Roman"/>
        </w:rPr>
      </w:pPr>
      <w:r w:rsidRPr="00055421">
        <w:rPr>
          <w:rFonts w:eastAsia="Times New Roman"/>
        </w:rPr>
        <w:t>Travel Plan</w:t>
      </w:r>
    </w:p>
    <w:p w:rsidR="005E7813" w:rsidRPr="00055421" w:rsidRDefault="005E7813" w:rsidP="005E7813">
      <w:pPr>
        <w:widowControl w:val="0"/>
        <w:numPr>
          <w:ilvl w:val="0"/>
          <w:numId w:val="3"/>
        </w:numPr>
        <w:autoSpaceDE w:val="0"/>
        <w:autoSpaceDN w:val="0"/>
        <w:jc w:val="both"/>
        <w:rPr>
          <w:rFonts w:eastAsia="Times New Roman"/>
        </w:rPr>
      </w:pPr>
      <w:r w:rsidRPr="00055421">
        <w:rPr>
          <w:rFonts w:eastAsia="Times New Roman"/>
        </w:rPr>
        <w:t>Student Accommodation</w:t>
      </w:r>
      <w:r>
        <w:rPr>
          <w:rFonts w:eastAsia="Times New Roman"/>
        </w:rPr>
        <w:t>–</w:t>
      </w:r>
      <w:r w:rsidRPr="00055421">
        <w:rPr>
          <w:rFonts w:eastAsia="Times New Roman"/>
        </w:rPr>
        <w:t xml:space="preserve"> </w:t>
      </w:r>
      <w:r>
        <w:rPr>
          <w:rFonts w:eastAsia="Times New Roman"/>
        </w:rPr>
        <w:t>Warden</w:t>
      </w:r>
    </w:p>
    <w:p w:rsidR="005E7813" w:rsidRPr="00055421" w:rsidRDefault="005E7813" w:rsidP="005E7813">
      <w:pPr>
        <w:widowControl w:val="0"/>
        <w:numPr>
          <w:ilvl w:val="0"/>
          <w:numId w:val="3"/>
        </w:numPr>
        <w:autoSpaceDE w:val="0"/>
        <w:autoSpaceDN w:val="0"/>
        <w:jc w:val="both"/>
        <w:rPr>
          <w:rFonts w:eastAsia="Times New Roman"/>
        </w:rPr>
      </w:pPr>
      <w:r w:rsidRPr="00055421">
        <w:rPr>
          <w:rFonts w:eastAsia="Times New Roman"/>
        </w:rPr>
        <w:t xml:space="preserve">Student Accommodation and Out of Term Use </w:t>
      </w:r>
      <w:r w:rsidRPr="00055421">
        <w:rPr>
          <w:rFonts w:eastAsia="Times New Roman"/>
        </w:rPr>
        <w:tab/>
      </w:r>
    </w:p>
    <w:p w:rsidR="005E7813" w:rsidRPr="00055421" w:rsidRDefault="005E7813" w:rsidP="005E7813">
      <w:pPr>
        <w:widowControl w:val="0"/>
        <w:numPr>
          <w:ilvl w:val="0"/>
          <w:numId w:val="3"/>
        </w:numPr>
        <w:autoSpaceDE w:val="0"/>
        <w:autoSpaceDN w:val="0"/>
        <w:jc w:val="both"/>
        <w:rPr>
          <w:rFonts w:eastAsia="Times New Roman"/>
        </w:rPr>
      </w:pPr>
      <w:r w:rsidRPr="00055421">
        <w:rPr>
          <w:rFonts w:eastAsia="Times New Roman"/>
        </w:rPr>
        <w:t xml:space="preserve">Student Accommodation </w:t>
      </w:r>
      <w:r>
        <w:rPr>
          <w:rFonts w:eastAsia="Times New Roman"/>
        </w:rPr>
        <w:t xml:space="preserve">– </w:t>
      </w:r>
      <w:r w:rsidRPr="00055421">
        <w:rPr>
          <w:rFonts w:eastAsia="Times New Roman"/>
        </w:rPr>
        <w:t>Management Plan</w:t>
      </w:r>
      <w:r>
        <w:rPr>
          <w:rFonts w:eastAsia="Times New Roman"/>
        </w:rPr>
        <w:t>; prior occupation</w:t>
      </w:r>
    </w:p>
    <w:p w:rsidR="005E7813" w:rsidRDefault="005E7813" w:rsidP="005E7813">
      <w:pPr>
        <w:widowControl w:val="0"/>
        <w:numPr>
          <w:ilvl w:val="0"/>
          <w:numId w:val="3"/>
        </w:numPr>
        <w:autoSpaceDE w:val="0"/>
        <w:autoSpaceDN w:val="0"/>
        <w:jc w:val="both"/>
        <w:rPr>
          <w:rFonts w:eastAsia="Times New Roman"/>
        </w:rPr>
      </w:pPr>
      <w:r w:rsidRPr="00055421">
        <w:rPr>
          <w:rFonts w:eastAsia="Times New Roman"/>
        </w:rPr>
        <w:t xml:space="preserve">Students - No cars </w:t>
      </w:r>
    </w:p>
    <w:p w:rsidR="005E7813" w:rsidRPr="00746F41" w:rsidRDefault="005E7813" w:rsidP="005E7813">
      <w:pPr>
        <w:widowControl w:val="0"/>
        <w:numPr>
          <w:ilvl w:val="0"/>
          <w:numId w:val="3"/>
        </w:numPr>
        <w:autoSpaceDE w:val="0"/>
        <w:autoSpaceDN w:val="0"/>
        <w:jc w:val="both"/>
        <w:rPr>
          <w:rFonts w:eastAsia="Times New Roman"/>
          <w:bCs/>
        </w:rPr>
      </w:pPr>
      <w:r>
        <w:t xml:space="preserve">Details of Booking system for beginning / end term; </w:t>
      </w:r>
      <w:r>
        <w:rPr>
          <w:rFonts w:eastAsia="Times New Roman"/>
        </w:rPr>
        <w:t>prior occupation</w:t>
      </w:r>
    </w:p>
    <w:p w:rsidR="005E7813" w:rsidRPr="00B83E5A" w:rsidRDefault="005E7813" w:rsidP="005E7813">
      <w:pPr>
        <w:widowControl w:val="0"/>
        <w:numPr>
          <w:ilvl w:val="0"/>
          <w:numId w:val="3"/>
        </w:numPr>
        <w:autoSpaceDE w:val="0"/>
        <w:autoSpaceDN w:val="0"/>
        <w:jc w:val="both"/>
        <w:rPr>
          <w:rFonts w:eastAsia="Times New Roman"/>
          <w:bCs/>
        </w:rPr>
      </w:pPr>
      <w:r>
        <w:rPr>
          <w:rFonts w:eastAsia="Times New Roman"/>
        </w:rPr>
        <w:t xml:space="preserve">Restrict hours of use of outside amenity space; </w:t>
      </w:r>
      <w:r w:rsidRPr="00746F41">
        <w:rPr>
          <w:rFonts w:eastAsia="Times New Roman"/>
        </w:rPr>
        <w:t>08:00 and 21:00</w:t>
      </w:r>
    </w:p>
    <w:p w:rsidR="005E7813" w:rsidRPr="00055421" w:rsidRDefault="005E7813" w:rsidP="005E7813">
      <w:pPr>
        <w:widowControl w:val="0"/>
        <w:numPr>
          <w:ilvl w:val="0"/>
          <w:numId w:val="3"/>
        </w:numPr>
        <w:autoSpaceDE w:val="0"/>
        <w:autoSpaceDN w:val="0"/>
        <w:jc w:val="both"/>
        <w:rPr>
          <w:rFonts w:eastAsia="Times New Roman"/>
          <w:bCs/>
        </w:rPr>
      </w:pPr>
      <w:r w:rsidRPr="00055421">
        <w:rPr>
          <w:rFonts w:eastAsia="Times New Roman"/>
          <w:bCs/>
        </w:rPr>
        <w:t>Biodiversity – measures for wildlife</w:t>
      </w:r>
      <w:r>
        <w:rPr>
          <w:rFonts w:eastAsia="Times New Roman"/>
          <w:bCs/>
        </w:rPr>
        <w:t xml:space="preserve"> details to be submitted</w:t>
      </w:r>
    </w:p>
    <w:p w:rsidR="005E7813" w:rsidRDefault="005E7813" w:rsidP="008A22C6"/>
    <w:p w:rsidR="005E7813" w:rsidRPr="00D9172F" w:rsidRDefault="005E7813" w:rsidP="008A22C6"/>
    <w:p w:rsidR="008A22C6" w:rsidRDefault="005360CE" w:rsidP="008A22C6">
      <w:pPr>
        <w:rPr>
          <w:b/>
        </w:rPr>
      </w:pPr>
      <w:r>
        <w:rPr>
          <w:b/>
        </w:rPr>
        <w:t>Background:</w:t>
      </w:r>
    </w:p>
    <w:p w:rsidR="005360CE" w:rsidRDefault="005360CE" w:rsidP="008A22C6"/>
    <w:p w:rsidR="00D9172F" w:rsidRDefault="005360CE" w:rsidP="005F1BAC">
      <w:pPr>
        <w:pStyle w:val="ListParagraph"/>
        <w:numPr>
          <w:ilvl w:val="0"/>
          <w:numId w:val="6"/>
        </w:numPr>
      </w:pPr>
      <w:r>
        <w:t>This application was reported to th</w:t>
      </w:r>
      <w:r w:rsidR="000F5202">
        <w:t>e EAPC on 4</w:t>
      </w:r>
      <w:r w:rsidR="000F5202" w:rsidRPr="005F1BAC">
        <w:rPr>
          <w:vertAlign w:val="superscript"/>
        </w:rPr>
        <w:t>th</w:t>
      </w:r>
      <w:r w:rsidR="000F5202">
        <w:t xml:space="preserve"> November 2015</w:t>
      </w:r>
      <w:r>
        <w:t xml:space="preserve"> with a recommendation to refuse planning permission, </w:t>
      </w:r>
      <w:r w:rsidR="00D9172F">
        <w:t xml:space="preserve">Officer’s </w:t>
      </w:r>
      <w:r>
        <w:t xml:space="preserve">report attached at </w:t>
      </w:r>
      <w:r w:rsidRPr="005F1BAC">
        <w:rPr>
          <w:b/>
        </w:rPr>
        <w:t>Appe</w:t>
      </w:r>
      <w:r w:rsidR="000F5202" w:rsidRPr="005F1BAC">
        <w:rPr>
          <w:b/>
        </w:rPr>
        <w:t>ndix A.</w:t>
      </w:r>
      <w:r w:rsidR="000F5202">
        <w:t xml:space="preserve"> </w:t>
      </w:r>
      <w:r w:rsidR="00681A63">
        <w:t>The site plan is f</w:t>
      </w:r>
      <w:r w:rsidR="005E7813">
        <w:t>o</w:t>
      </w:r>
      <w:r w:rsidR="00681A63">
        <w:t xml:space="preserve">und at </w:t>
      </w:r>
      <w:r w:rsidR="00681A63" w:rsidRPr="005F1BAC">
        <w:rPr>
          <w:b/>
        </w:rPr>
        <w:t xml:space="preserve">Appendix 1 </w:t>
      </w:r>
      <w:r w:rsidR="00681A63" w:rsidRPr="00681A63">
        <w:t xml:space="preserve">to that </w:t>
      </w:r>
      <w:proofErr w:type="gramStart"/>
      <w:r w:rsidR="00681A63" w:rsidRPr="00681A63">
        <w:t>report</w:t>
      </w:r>
      <w:r w:rsidR="00681A63" w:rsidRPr="005F1BAC">
        <w:rPr>
          <w:b/>
        </w:rPr>
        <w:t xml:space="preserve"> </w:t>
      </w:r>
      <w:r w:rsidR="00681A63">
        <w:t xml:space="preserve"> (</w:t>
      </w:r>
      <w:proofErr w:type="gramEnd"/>
      <w:r w:rsidR="00681A63">
        <w:t>appendix A1)</w:t>
      </w:r>
      <w:r w:rsidR="005E7813">
        <w:t>.</w:t>
      </w:r>
      <w:r w:rsidR="00681A63">
        <w:t xml:space="preserve"> </w:t>
      </w:r>
      <w:r w:rsidR="000F5202">
        <w:t>Committee resolved to</w:t>
      </w:r>
      <w:r>
        <w:t xml:space="preserve"> defer</w:t>
      </w:r>
      <w:r w:rsidR="000F5202">
        <w:t xml:space="preserve"> </w:t>
      </w:r>
      <w:r>
        <w:t>the application for further information to be supplied by Officers on</w:t>
      </w:r>
      <w:r w:rsidR="00D9172F">
        <w:t xml:space="preserve"> any recent changes in the supply of and need for available employment</w:t>
      </w:r>
      <w:r>
        <w:t xml:space="preserve"> </w:t>
      </w:r>
      <w:r w:rsidR="00D9172F">
        <w:t xml:space="preserve">land; </w:t>
      </w:r>
      <w:r>
        <w:t xml:space="preserve">and </w:t>
      </w:r>
      <w:r w:rsidR="00D9172F">
        <w:t>the impact of this on the application of policy; and options for the use of this site</w:t>
      </w:r>
      <w:r>
        <w:t xml:space="preserve">. </w:t>
      </w:r>
    </w:p>
    <w:p w:rsidR="00D9172F" w:rsidRDefault="00D9172F" w:rsidP="008A22C6"/>
    <w:p w:rsidR="005360CE" w:rsidRDefault="005E7813" w:rsidP="005F1BAC">
      <w:pPr>
        <w:pStyle w:val="ListParagraph"/>
        <w:numPr>
          <w:ilvl w:val="0"/>
          <w:numId w:val="6"/>
        </w:numPr>
      </w:pPr>
      <w:r>
        <w:t>P</w:t>
      </w:r>
      <w:r w:rsidR="005360CE">
        <w:t xml:space="preserve">revious </w:t>
      </w:r>
      <w:r w:rsidR="00D9172F">
        <w:t>applications</w:t>
      </w:r>
      <w:r w:rsidR="005360CE">
        <w:t xml:space="preserve"> </w:t>
      </w:r>
      <w:r w:rsidR="00F72EEA">
        <w:t xml:space="preserve">refused </w:t>
      </w:r>
      <w:r w:rsidR="005360CE">
        <w:t>on this site</w:t>
      </w:r>
      <w:r w:rsidR="00F72EEA">
        <w:t xml:space="preserve"> </w:t>
      </w:r>
      <w:r w:rsidR="005360CE">
        <w:t>namely:</w:t>
      </w:r>
    </w:p>
    <w:p w:rsidR="000F5202" w:rsidRDefault="000F5202" w:rsidP="008A22C6"/>
    <w:p w:rsidR="000F5202" w:rsidRPr="000F5202" w:rsidRDefault="005360CE" w:rsidP="000F5202">
      <w:pPr>
        <w:pStyle w:val="ListParagraph"/>
        <w:numPr>
          <w:ilvl w:val="0"/>
          <w:numId w:val="1"/>
        </w:numPr>
        <w:rPr>
          <w:u w:val="single"/>
        </w:rPr>
      </w:pPr>
      <w:r>
        <w:t>C</w:t>
      </w:r>
      <w:r w:rsidR="000F5202">
        <w:t>o</w:t>
      </w:r>
      <w:r>
        <w:t>nversion</w:t>
      </w:r>
      <w:r w:rsidR="000F5202">
        <w:t xml:space="preserve"> </w:t>
      </w:r>
      <w:r>
        <w:t xml:space="preserve">of Canterbury </w:t>
      </w:r>
      <w:r w:rsidR="00D9172F">
        <w:t xml:space="preserve">House </w:t>
      </w:r>
      <w:r>
        <w:t xml:space="preserve">from Office </w:t>
      </w:r>
      <w:r w:rsidR="00D9172F">
        <w:t>to</w:t>
      </w:r>
      <w:r>
        <w:t xml:space="preserve"> </w:t>
      </w:r>
      <w:r w:rsidR="000F5202">
        <w:t>residential</w:t>
      </w:r>
      <w:r>
        <w:t xml:space="preserve"> under current P</w:t>
      </w:r>
      <w:r w:rsidR="00D9172F">
        <w:t xml:space="preserve">ermitted </w:t>
      </w:r>
      <w:r>
        <w:t>D</w:t>
      </w:r>
      <w:r w:rsidR="00D9172F">
        <w:t>evelopment</w:t>
      </w:r>
      <w:r>
        <w:t xml:space="preserve"> </w:t>
      </w:r>
      <w:r w:rsidR="00D9172F">
        <w:t>regulations</w:t>
      </w:r>
      <w:r>
        <w:t xml:space="preserve"> </w:t>
      </w:r>
      <w:r w:rsidR="000F5202" w:rsidRPr="000F5202">
        <w:rPr>
          <w:u w:val="single"/>
        </w:rPr>
        <w:t>15/00360/B56</w:t>
      </w:r>
      <w:r w:rsidR="00D9172F">
        <w:rPr>
          <w:u w:val="single"/>
        </w:rPr>
        <w:t xml:space="preserve"> </w:t>
      </w:r>
      <w:r w:rsidR="00D9172F">
        <w:t>refers</w:t>
      </w:r>
      <w:r w:rsidR="005E7813">
        <w:t>.</w:t>
      </w:r>
    </w:p>
    <w:p w:rsidR="005360CE" w:rsidRDefault="005360CE" w:rsidP="00D9172F">
      <w:pPr>
        <w:pStyle w:val="ListParagraph"/>
        <w:ind w:left="1080"/>
      </w:pPr>
    </w:p>
    <w:p w:rsidR="000F5202" w:rsidRPr="000F5202" w:rsidRDefault="005360CE" w:rsidP="000F5202">
      <w:pPr>
        <w:pStyle w:val="ListParagraph"/>
        <w:numPr>
          <w:ilvl w:val="0"/>
          <w:numId w:val="1"/>
        </w:numPr>
        <w:rPr>
          <w:u w:val="single"/>
        </w:rPr>
      </w:pPr>
      <w:r>
        <w:t xml:space="preserve">Outline application for </w:t>
      </w:r>
      <w:r w:rsidR="00B0410A" w:rsidRPr="00A37F83">
        <w:t xml:space="preserve">98 student study rooms </w:t>
      </w:r>
      <w:r>
        <w:t>on</w:t>
      </w:r>
      <w:r w:rsidR="00B0410A">
        <w:t xml:space="preserve"> land comprising Adams and Riviera House (demolished) </w:t>
      </w:r>
      <w:r w:rsidR="000F5202" w:rsidRPr="000F5202">
        <w:rPr>
          <w:u w:val="single"/>
        </w:rPr>
        <w:t>14/03204/OUT</w:t>
      </w:r>
      <w:r w:rsidR="00D9172F" w:rsidRPr="00D9172F">
        <w:t xml:space="preserve"> </w:t>
      </w:r>
      <w:r w:rsidR="00D9172F">
        <w:t>refers.</w:t>
      </w:r>
    </w:p>
    <w:p w:rsidR="005360CE" w:rsidRDefault="005360CE" w:rsidP="00D9172F">
      <w:pPr>
        <w:pStyle w:val="ListParagraph"/>
        <w:ind w:left="1080"/>
      </w:pPr>
    </w:p>
    <w:p w:rsidR="00F7477B" w:rsidRPr="00F7477B" w:rsidRDefault="005360CE" w:rsidP="00F7477B">
      <w:pPr>
        <w:pStyle w:val="ListParagraph"/>
        <w:numPr>
          <w:ilvl w:val="0"/>
          <w:numId w:val="1"/>
        </w:numPr>
        <w:rPr>
          <w:u w:val="single"/>
        </w:rPr>
      </w:pPr>
      <w:r>
        <w:t xml:space="preserve">Outline </w:t>
      </w:r>
      <w:r w:rsidR="00D9172F">
        <w:t>application</w:t>
      </w:r>
      <w:r>
        <w:t xml:space="preserve"> for 9 flats on the vacant plot adjacent </w:t>
      </w:r>
      <w:r w:rsidR="00D9172F">
        <w:t>to</w:t>
      </w:r>
      <w:r>
        <w:t xml:space="preserve"> Canterbury </w:t>
      </w:r>
      <w:r w:rsidR="00D9172F">
        <w:t>H</w:t>
      </w:r>
      <w:r>
        <w:t>ouse</w:t>
      </w:r>
      <w:r w:rsidR="007348F7">
        <w:t>, facing Cowley Road</w:t>
      </w:r>
      <w:r>
        <w:t>.</w:t>
      </w:r>
      <w:r w:rsidR="00F7477B" w:rsidRPr="00F7477B">
        <w:rPr>
          <w:rFonts w:eastAsia="Times New Roman"/>
          <w:u w:val="single"/>
        </w:rPr>
        <w:t xml:space="preserve"> </w:t>
      </w:r>
      <w:r w:rsidR="00F7477B" w:rsidRPr="00F7477B">
        <w:rPr>
          <w:u w:val="single"/>
        </w:rPr>
        <w:t>15/00597/OUT</w:t>
      </w:r>
      <w:r w:rsidR="00D9172F">
        <w:rPr>
          <w:u w:val="single"/>
        </w:rPr>
        <w:t xml:space="preserve"> </w:t>
      </w:r>
      <w:r w:rsidR="00D9172F">
        <w:t>refers.</w:t>
      </w:r>
    </w:p>
    <w:p w:rsidR="00F7477B" w:rsidRDefault="00F7477B" w:rsidP="007348F7"/>
    <w:p w:rsidR="00FE444B" w:rsidRDefault="00F72EEA" w:rsidP="005F1BAC">
      <w:pPr>
        <w:pStyle w:val="ListParagraph"/>
        <w:numPr>
          <w:ilvl w:val="0"/>
          <w:numId w:val="6"/>
        </w:numPr>
      </w:pPr>
      <w:r>
        <w:t>T</w:t>
      </w:r>
      <w:r w:rsidRPr="00F72EEA">
        <w:t xml:space="preserve">hese </w:t>
      </w:r>
      <w:r>
        <w:t>applications were refused for</w:t>
      </w:r>
      <w:r w:rsidR="00FE444B">
        <w:t>,</w:t>
      </w:r>
      <w:r>
        <w:t xml:space="preserve"> amongst other things</w:t>
      </w:r>
      <w:r w:rsidR="00FE444B">
        <w:t>,</w:t>
      </w:r>
      <w:r>
        <w:t xml:space="preserve"> loss of employment</w:t>
      </w:r>
      <w:r w:rsidR="00A55649">
        <w:t xml:space="preserve"> use</w:t>
      </w:r>
      <w:r>
        <w:t xml:space="preserve">, </w:t>
      </w:r>
      <w:r w:rsidR="00A55649">
        <w:t>lack of marketing</w:t>
      </w:r>
      <w:r>
        <w:t>, design and impact on the non-designated heritage asset of Canterbury House (see Appendix A for planning history</w:t>
      </w:r>
      <w:r w:rsidR="00A55649">
        <w:t xml:space="preserve"> and full reasons for refusal</w:t>
      </w:r>
      <w:r>
        <w:t>)</w:t>
      </w:r>
      <w:r w:rsidR="005E7813">
        <w:t xml:space="preserve"> and went to appeal</w:t>
      </w:r>
      <w:r>
        <w:t>.  These appeals were</w:t>
      </w:r>
      <w:r w:rsidRPr="00F72EEA">
        <w:t xml:space="preserve"> the subject of an Appeal Hearing </w:t>
      </w:r>
      <w:r w:rsidR="00A55649">
        <w:t>on</w:t>
      </w:r>
      <w:r w:rsidR="00FE444B">
        <w:t xml:space="preserve"> </w:t>
      </w:r>
      <w:r w:rsidR="00A55649" w:rsidRPr="00F72EEA">
        <w:t>22</w:t>
      </w:r>
      <w:r w:rsidR="00A55649" w:rsidRPr="005F1BAC">
        <w:rPr>
          <w:vertAlign w:val="superscript"/>
        </w:rPr>
        <w:t>nd</w:t>
      </w:r>
      <w:r w:rsidR="00A55649" w:rsidRPr="00F72EEA">
        <w:t xml:space="preserve"> Oct</w:t>
      </w:r>
      <w:r w:rsidR="00A55649">
        <w:t xml:space="preserve"> during</w:t>
      </w:r>
      <w:r w:rsidR="00A55649" w:rsidRPr="00F72EEA">
        <w:t> </w:t>
      </w:r>
      <w:r w:rsidRPr="00F72EEA">
        <w:t>wh</w:t>
      </w:r>
      <w:r w:rsidR="00A55649">
        <w:t>ich the</w:t>
      </w:r>
      <w:r w:rsidRPr="00F72EEA">
        <w:t xml:space="preserve"> very issues </w:t>
      </w:r>
      <w:r w:rsidR="00A55649">
        <w:t xml:space="preserve">and information requested by EAPC in November were discussed. </w:t>
      </w:r>
      <w:r w:rsidRPr="00F72EEA">
        <w:t xml:space="preserve"> In view of th</w:t>
      </w:r>
      <w:r w:rsidR="00A55649">
        <w:t>is</w:t>
      </w:r>
      <w:r w:rsidRPr="00F72EEA">
        <w:t xml:space="preserve"> fact, Officers </w:t>
      </w:r>
      <w:r w:rsidR="00A55649">
        <w:t>took</w:t>
      </w:r>
      <w:r w:rsidRPr="00F72EEA">
        <w:t xml:space="preserve"> the view that it </w:t>
      </w:r>
      <w:r w:rsidR="00A55649">
        <w:t xml:space="preserve">would be prudent </w:t>
      </w:r>
      <w:r w:rsidRPr="00F72EEA">
        <w:t>to wait for the Inspector</w:t>
      </w:r>
      <w:r w:rsidR="00FE444B">
        <w:t>’</w:t>
      </w:r>
      <w:r w:rsidRPr="00F72EEA">
        <w:t xml:space="preserve">s decision before bringing it back to </w:t>
      </w:r>
      <w:r w:rsidR="007348F7">
        <w:t>C</w:t>
      </w:r>
      <w:r w:rsidRPr="00F72EEA">
        <w:t>ommittee</w:t>
      </w:r>
      <w:r w:rsidR="00FE444B">
        <w:t xml:space="preserve"> as it was </w:t>
      </w:r>
      <w:r w:rsidR="007348F7">
        <w:t xml:space="preserve">considered </w:t>
      </w:r>
      <w:r w:rsidR="00FE444B">
        <w:t xml:space="preserve">likely it </w:t>
      </w:r>
      <w:r w:rsidR="00FE444B">
        <w:lastRenderedPageBreak/>
        <w:t>would</w:t>
      </w:r>
      <w:r w:rsidRPr="00F72EEA">
        <w:t xml:space="preserve"> direct on key issues regarding the principle of the loss of employment use, housing need and marketing done</w:t>
      </w:r>
      <w:r w:rsidR="00FE444B">
        <w:t xml:space="preserve">.   </w:t>
      </w:r>
      <w:r w:rsidR="005E7813">
        <w:t>T</w:t>
      </w:r>
      <w:r w:rsidR="00FE444B">
        <w:t>his has been the case and the Inspector</w:t>
      </w:r>
      <w:r w:rsidR="005E7813">
        <w:t>’</w:t>
      </w:r>
      <w:r w:rsidR="00FE444B">
        <w:t xml:space="preserve">s decision is attached in full at </w:t>
      </w:r>
      <w:r w:rsidR="00FE444B" w:rsidRPr="005F1BAC">
        <w:rPr>
          <w:b/>
        </w:rPr>
        <w:t>Appendix B</w:t>
      </w:r>
      <w:r w:rsidR="00FE444B">
        <w:t>.</w:t>
      </w:r>
    </w:p>
    <w:p w:rsidR="00FE444B" w:rsidRDefault="00FE444B" w:rsidP="005360CE"/>
    <w:p w:rsidR="006A5F54" w:rsidRDefault="001A7A5C" w:rsidP="005F1BAC">
      <w:pPr>
        <w:pStyle w:val="ListParagraph"/>
        <w:numPr>
          <w:ilvl w:val="0"/>
          <w:numId w:val="6"/>
        </w:numPr>
      </w:pPr>
      <w:r>
        <w:t>T</w:t>
      </w:r>
      <w:r w:rsidR="006A5F54">
        <w:t>he</w:t>
      </w:r>
      <w:r w:rsidR="00FE444B">
        <w:t xml:space="preserve"> </w:t>
      </w:r>
      <w:r w:rsidR="008779F7">
        <w:t xml:space="preserve">2 </w:t>
      </w:r>
      <w:r w:rsidR="007348F7">
        <w:t xml:space="preserve">key </w:t>
      </w:r>
      <w:r w:rsidR="00FE444B">
        <w:t>points are:</w:t>
      </w:r>
    </w:p>
    <w:p w:rsidR="006A5F54" w:rsidRDefault="006A5F54" w:rsidP="007348F7"/>
    <w:p w:rsidR="006A5F54" w:rsidRDefault="006A5F54" w:rsidP="007348F7">
      <w:pPr>
        <w:pStyle w:val="ListParagraph"/>
        <w:numPr>
          <w:ilvl w:val="0"/>
          <w:numId w:val="2"/>
        </w:numPr>
      </w:pPr>
      <w:r>
        <w:t>The loss of em</w:t>
      </w:r>
      <w:r w:rsidR="007348F7">
        <w:t>ployment</w:t>
      </w:r>
      <w:r>
        <w:t xml:space="preserve"> use</w:t>
      </w:r>
      <w:r w:rsidR="007348F7">
        <w:t xml:space="preserve"> for </w:t>
      </w:r>
      <w:r>
        <w:t xml:space="preserve">the whole of the site (i.e. existing office blocks, </w:t>
      </w:r>
      <w:r w:rsidR="007348F7">
        <w:t xml:space="preserve">vacant </w:t>
      </w:r>
      <w:r>
        <w:t>block and Canterbury House) has been accepted by</w:t>
      </w:r>
      <w:r w:rsidR="007348F7">
        <w:t xml:space="preserve"> </w:t>
      </w:r>
      <w:r>
        <w:t xml:space="preserve">the Inspector and therefore the principle of residential use in this location is now </w:t>
      </w:r>
      <w:r w:rsidR="00D9172F">
        <w:t>agreed</w:t>
      </w:r>
      <w:r w:rsidR="007348F7">
        <w:t>;</w:t>
      </w:r>
    </w:p>
    <w:p w:rsidR="00D9172F" w:rsidRDefault="007348F7" w:rsidP="00D9172F">
      <w:pPr>
        <w:pStyle w:val="ListParagraph"/>
        <w:numPr>
          <w:ilvl w:val="0"/>
          <w:numId w:val="2"/>
        </w:numPr>
      </w:pPr>
      <w:r>
        <w:rPr>
          <w:color w:val="000000"/>
        </w:rPr>
        <w:t>Notwithstanding</w:t>
      </w:r>
      <w:r w:rsidR="008779F7">
        <w:rPr>
          <w:color w:val="000000"/>
        </w:rPr>
        <w:t xml:space="preserve"> 1</w:t>
      </w:r>
      <w:r>
        <w:rPr>
          <w:color w:val="000000"/>
        </w:rPr>
        <w:t xml:space="preserve"> above, the appeals relating to the student and flat accommodation were both</w:t>
      </w:r>
      <w:r w:rsidR="00D9172F" w:rsidRPr="00D9172F">
        <w:rPr>
          <w:color w:val="000000"/>
        </w:rPr>
        <w:t xml:space="preserve"> dismissed </w:t>
      </w:r>
      <w:r>
        <w:rPr>
          <w:color w:val="000000"/>
        </w:rPr>
        <w:t>on grounds of</w:t>
      </w:r>
      <w:r w:rsidR="00D9172F" w:rsidRPr="00D9172F">
        <w:rPr>
          <w:color w:val="000000"/>
        </w:rPr>
        <w:t>, amongst other things, relating to impact and proximity to the non-heritage asset of Canterbury House, impact on street scene and inadequate</w:t>
      </w:r>
      <w:r w:rsidR="001A7A5C">
        <w:rPr>
          <w:color w:val="000000"/>
        </w:rPr>
        <w:t xml:space="preserve"> (quality/ amount of)</w:t>
      </w:r>
      <w:r w:rsidR="00D9172F" w:rsidRPr="00D9172F">
        <w:rPr>
          <w:color w:val="000000"/>
        </w:rPr>
        <w:t xml:space="preserve"> amenity space</w:t>
      </w:r>
      <w:r w:rsidR="001A7A5C">
        <w:rPr>
          <w:color w:val="000000"/>
        </w:rPr>
        <w:t xml:space="preserve"> in relation to both student </w:t>
      </w:r>
      <w:r w:rsidR="005E7813">
        <w:rPr>
          <w:color w:val="000000"/>
        </w:rPr>
        <w:t xml:space="preserve">accommodation </w:t>
      </w:r>
      <w:r w:rsidR="001A7A5C">
        <w:rPr>
          <w:color w:val="000000"/>
        </w:rPr>
        <w:t>and flats</w:t>
      </w:r>
      <w:r w:rsidR="00D9172F" w:rsidRPr="00D9172F">
        <w:rPr>
          <w:color w:val="000000"/>
        </w:rPr>
        <w:t>.</w:t>
      </w:r>
    </w:p>
    <w:p w:rsidR="001A7A5C" w:rsidRDefault="001A7A5C" w:rsidP="001A7A5C">
      <w:pPr>
        <w:rPr>
          <w:b/>
        </w:rPr>
      </w:pPr>
    </w:p>
    <w:p w:rsidR="00D9172F" w:rsidRPr="001A7A5C" w:rsidRDefault="001A7A5C" w:rsidP="001A7A5C">
      <w:pPr>
        <w:rPr>
          <w:b/>
        </w:rPr>
      </w:pPr>
      <w:r>
        <w:rPr>
          <w:b/>
        </w:rPr>
        <w:t xml:space="preserve">Appeal Decision and </w:t>
      </w:r>
      <w:r w:rsidR="008779F7">
        <w:rPr>
          <w:b/>
        </w:rPr>
        <w:t xml:space="preserve">relevance in determining </w:t>
      </w:r>
      <w:r>
        <w:rPr>
          <w:b/>
        </w:rPr>
        <w:t>this Application:</w:t>
      </w:r>
    </w:p>
    <w:p w:rsidR="001A7A5C" w:rsidRDefault="001A7A5C" w:rsidP="001A7A5C"/>
    <w:p w:rsidR="00F34224" w:rsidRPr="00016BC0" w:rsidRDefault="00F34224" w:rsidP="001A7A5C">
      <w:pPr>
        <w:rPr>
          <w:u w:val="single"/>
        </w:rPr>
      </w:pPr>
      <w:r w:rsidRPr="00016BC0">
        <w:rPr>
          <w:i/>
          <w:u w:val="single"/>
        </w:rPr>
        <w:t>Loss of Employment Use:</w:t>
      </w:r>
    </w:p>
    <w:p w:rsidR="00F34224" w:rsidRPr="00F34224" w:rsidRDefault="00F34224" w:rsidP="001A7A5C"/>
    <w:p w:rsidR="008779F7" w:rsidRDefault="001A7A5C" w:rsidP="005F1BAC">
      <w:pPr>
        <w:pStyle w:val="ListParagraph"/>
        <w:numPr>
          <w:ilvl w:val="0"/>
          <w:numId w:val="6"/>
        </w:numPr>
      </w:pPr>
      <w:r>
        <w:t>The Appeal decision</w:t>
      </w:r>
      <w:r w:rsidR="00F34224">
        <w:t xml:space="preserve"> is a material consideration in </w:t>
      </w:r>
      <w:r>
        <w:t>determining this application</w:t>
      </w:r>
      <w:r w:rsidR="008779F7">
        <w:t xml:space="preserve">.  The Inspector considered that the marketing evidence submitted adequately demonstrated the lack of interest and suitability for employment or other </w:t>
      </w:r>
      <w:r w:rsidR="008779F7" w:rsidRPr="00F8072A">
        <w:t>potential modernisation or regeneration for alternative employment-generating uses</w:t>
      </w:r>
      <w:r w:rsidR="008779F7">
        <w:t xml:space="preserve"> </w:t>
      </w:r>
      <w:r w:rsidR="005E7813">
        <w:t xml:space="preserve">and </w:t>
      </w:r>
      <w:r w:rsidR="008779F7">
        <w:t xml:space="preserve">was considered acceptable.  The Inspector was also convinced that </w:t>
      </w:r>
      <w:r w:rsidR="008779F7" w:rsidRPr="00F8072A">
        <w:t>the loss of jobs would not reduce the diversity and availability of job opportunities</w:t>
      </w:r>
      <w:r w:rsidR="008779F7">
        <w:t>.</w:t>
      </w:r>
      <w:r w:rsidR="00F34224">
        <w:t xml:space="preserve"> </w:t>
      </w:r>
      <w:r w:rsidR="008779F7">
        <w:t xml:space="preserve"> Nor would it</w:t>
      </w:r>
      <w:r w:rsidR="008779F7" w:rsidRPr="00F8072A">
        <w:t xml:space="preserve"> result in the loss of small and start-up business premises in Oxford</w:t>
      </w:r>
      <w:r w:rsidR="00F34224">
        <w:t>. In relation t</w:t>
      </w:r>
      <w:r w:rsidR="00D77584">
        <w:t>o the</w:t>
      </w:r>
      <w:r w:rsidR="00F34224">
        <w:t xml:space="preserve"> vacant plot the Inspector considered that there was no realistic prospect of it coming forward for its intended use.  In balancing up the employment and housing need under </w:t>
      </w:r>
      <w:r w:rsidR="00DF2CE2">
        <w:t xml:space="preserve">policy </w:t>
      </w:r>
      <w:r w:rsidR="00F34224">
        <w:t>CS28 of the C</w:t>
      </w:r>
      <w:r w:rsidR="00DF2CE2">
        <w:t xml:space="preserve">ore </w:t>
      </w:r>
      <w:r w:rsidR="00F34224">
        <w:t>S</w:t>
      </w:r>
      <w:r w:rsidR="00DF2CE2">
        <w:t>trategy (CS</w:t>
      </w:r>
      <w:proofErr w:type="gramStart"/>
      <w:r w:rsidR="00DF2CE2">
        <w:t xml:space="preserve">) </w:t>
      </w:r>
      <w:r w:rsidR="00F34224">
        <w:t xml:space="preserve"> the</w:t>
      </w:r>
      <w:proofErr w:type="gramEnd"/>
      <w:r w:rsidR="00F34224">
        <w:t xml:space="preserve"> Inspect</w:t>
      </w:r>
      <w:r w:rsidR="00D77584">
        <w:t>or</w:t>
      </w:r>
      <w:r w:rsidR="00F34224">
        <w:t xml:space="preserve"> considered that student accommodation would </w:t>
      </w:r>
      <w:r w:rsidR="00D77584">
        <w:t>release</w:t>
      </w:r>
      <w:r w:rsidR="00F34224">
        <w:t xml:space="preserve"> family housing back to the general market.  </w:t>
      </w:r>
      <w:r w:rsidR="00D77584">
        <w:t>The loss of employment use was therefore accepted, p</w:t>
      </w:r>
      <w:r w:rsidR="00F34224">
        <w:t xml:space="preserve">aragraphs </w:t>
      </w:r>
      <w:r w:rsidR="00D77584">
        <w:t>57-62 refer</w:t>
      </w:r>
      <w:r w:rsidR="00F34224">
        <w:t>.</w:t>
      </w:r>
    </w:p>
    <w:p w:rsidR="008779F7" w:rsidRDefault="008779F7" w:rsidP="00D9172F"/>
    <w:p w:rsidR="007348F7" w:rsidRDefault="00D77584" w:rsidP="005F1BAC">
      <w:pPr>
        <w:pStyle w:val="ListParagraph"/>
        <w:numPr>
          <w:ilvl w:val="0"/>
          <w:numId w:val="6"/>
        </w:numPr>
      </w:pPr>
      <w:r>
        <w:t>In view of the fact that t</w:t>
      </w:r>
      <w:r w:rsidR="00F34224">
        <w:t>he marketing and</w:t>
      </w:r>
      <w:r>
        <w:t xml:space="preserve"> economic </w:t>
      </w:r>
      <w:r w:rsidR="00F34224">
        <w:t>justification submitted with this application was the same for the Appeals and therefore i</w:t>
      </w:r>
      <w:r w:rsidR="007348F7">
        <w:t xml:space="preserve">n light of the </w:t>
      </w:r>
      <w:r w:rsidR="001A7A5C">
        <w:t xml:space="preserve">Inspector’s </w:t>
      </w:r>
      <w:r w:rsidR="00F34224">
        <w:t>view above</w:t>
      </w:r>
      <w:r w:rsidR="001A7A5C">
        <w:t xml:space="preserve">, </w:t>
      </w:r>
      <w:r w:rsidR="00F34224">
        <w:t>Officers</w:t>
      </w:r>
      <w:r w:rsidR="001A7A5C">
        <w:t xml:space="preserve"> now advise Committee that </w:t>
      </w:r>
      <w:r>
        <w:t>it</w:t>
      </w:r>
      <w:r w:rsidR="001A7A5C">
        <w:t xml:space="preserve"> must </w:t>
      </w:r>
      <w:r>
        <w:t xml:space="preserve">also be considered acceptable in this case.    Consequently </w:t>
      </w:r>
      <w:r w:rsidR="007348F7">
        <w:t>the change of use of the existing office buildings Adams House</w:t>
      </w:r>
      <w:r w:rsidR="00DF2CE2">
        <w:t>,</w:t>
      </w:r>
      <w:r w:rsidR="007348F7">
        <w:t xml:space="preserve"> Riviera House &amp; Canterbury House to residential use</w:t>
      </w:r>
      <w:r>
        <w:t xml:space="preserve"> is considered acceptable under</w:t>
      </w:r>
      <w:r w:rsidRPr="00D77584">
        <w:t xml:space="preserve"> </w:t>
      </w:r>
      <w:r>
        <w:t>CS28 of the CS</w:t>
      </w:r>
      <w:r w:rsidR="007348F7">
        <w:t xml:space="preserve">.     </w:t>
      </w:r>
      <w:r w:rsidR="001A7A5C">
        <w:t xml:space="preserve">It is also accepted that the vacant plot can accommodate residential </w:t>
      </w:r>
      <w:r>
        <w:t>development, subject to issues of design (see below) under CS28 of the CS.</w:t>
      </w:r>
    </w:p>
    <w:p w:rsidR="00016BC0" w:rsidRDefault="00016BC0" w:rsidP="00D9172F"/>
    <w:p w:rsidR="00016BC0" w:rsidRPr="00016BC0" w:rsidRDefault="00016BC0" w:rsidP="00016BC0">
      <w:pPr>
        <w:rPr>
          <w:i/>
          <w:u w:val="single"/>
        </w:rPr>
      </w:pPr>
      <w:r w:rsidRPr="00016BC0">
        <w:rPr>
          <w:i/>
          <w:u w:val="single"/>
        </w:rPr>
        <w:t>Principle of Student accommodation:</w:t>
      </w:r>
    </w:p>
    <w:p w:rsidR="00016BC0" w:rsidRDefault="00016BC0" w:rsidP="00016BC0"/>
    <w:p w:rsidR="00016BC0" w:rsidRPr="005F1BAC" w:rsidRDefault="00016BC0" w:rsidP="005F1BAC">
      <w:pPr>
        <w:pStyle w:val="ListParagraph"/>
        <w:widowControl w:val="0"/>
        <w:numPr>
          <w:ilvl w:val="0"/>
          <w:numId w:val="6"/>
        </w:numPr>
        <w:autoSpaceDE w:val="0"/>
        <w:autoSpaceDN w:val="0"/>
        <w:ind w:right="1"/>
        <w:rPr>
          <w:rFonts w:eastAsia="Times New Roman"/>
          <w:lang w:val="en-US"/>
        </w:rPr>
      </w:pPr>
      <w:r w:rsidRPr="005F1BAC">
        <w:rPr>
          <w:rFonts w:eastAsia="Times New Roman"/>
          <w:iCs/>
          <w:lang w:val="en-US"/>
        </w:rPr>
        <w:t xml:space="preserve">It is understood that the proposed development is speculative.   </w:t>
      </w:r>
      <w:r w:rsidRPr="005F1BAC">
        <w:rPr>
          <w:rFonts w:eastAsia="Times New Roman"/>
          <w:lang w:val="en-US" w:eastAsia="en-GB"/>
        </w:rPr>
        <w:t xml:space="preserve">Policy CS25 of the Core Strategy encourages the provision of high quality purpose-built student accommodation buildings that do not significantly harm the amenity enjoyed by local residents. The policy also states that the Council will seek appropriate management controls to restrict students from bringing cars to </w:t>
      </w:r>
      <w:r w:rsidRPr="005F1BAC">
        <w:rPr>
          <w:rFonts w:eastAsia="Times New Roman"/>
          <w:lang w:val="en-US" w:eastAsia="en-GB"/>
        </w:rPr>
        <w:lastRenderedPageBreak/>
        <w:t xml:space="preserve">Oxford through the imposition of appropriate conditions or planning obligations. </w:t>
      </w:r>
    </w:p>
    <w:p w:rsidR="00016BC0" w:rsidRPr="00847B57" w:rsidRDefault="00016BC0" w:rsidP="00016BC0">
      <w:pPr>
        <w:widowControl w:val="0"/>
        <w:autoSpaceDE w:val="0"/>
        <w:autoSpaceDN w:val="0"/>
        <w:ind w:right="1"/>
        <w:rPr>
          <w:rFonts w:eastAsia="Times New Roman"/>
          <w:iCs/>
          <w:lang w:val="en-US"/>
        </w:rPr>
      </w:pPr>
    </w:p>
    <w:p w:rsidR="00016BC0" w:rsidRPr="005F1BAC" w:rsidRDefault="00016BC0" w:rsidP="005F1BAC">
      <w:pPr>
        <w:pStyle w:val="ListParagraph"/>
        <w:widowControl w:val="0"/>
        <w:numPr>
          <w:ilvl w:val="0"/>
          <w:numId w:val="6"/>
        </w:numPr>
        <w:autoSpaceDE w:val="0"/>
        <w:autoSpaceDN w:val="0"/>
        <w:ind w:right="1"/>
        <w:rPr>
          <w:rFonts w:eastAsia="Times New Roman"/>
          <w:iCs/>
          <w:lang w:val="en-US"/>
        </w:rPr>
      </w:pPr>
      <w:r w:rsidRPr="005F1BAC">
        <w:rPr>
          <w:rFonts w:eastAsia="Times New Roman"/>
          <w:iCs/>
          <w:lang w:val="en-US"/>
        </w:rPr>
        <w:t>SHP Policy HP5 sets out the criteria for locating student accommodation and permission will only be granted for student accommodation which can be accessed from a major thoroughfare.  Where 20 or more rooms are proposed, as in this case, permission will only be granted where the Developer undertakes to prevent the students from bringing car</w:t>
      </w:r>
      <w:r w:rsidR="00DF2CE2">
        <w:rPr>
          <w:rFonts w:eastAsia="Times New Roman"/>
          <w:iCs/>
          <w:lang w:val="en-US"/>
        </w:rPr>
        <w:t>s</w:t>
      </w:r>
      <w:r w:rsidRPr="005F1BAC">
        <w:rPr>
          <w:rFonts w:eastAsia="Times New Roman"/>
          <w:iCs/>
          <w:lang w:val="en-US"/>
        </w:rPr>
        <w:t xml:space="preserve"> to Oxford, implements a Management regime and provides indoor and outdoor amenity space.  </w:t>
      </w:r>
    </w:p>
    <w:p w:rsidR="00016BC0" w:rsidRPr="00847B57" w:rsidRDefault="00016BC0" w:rsidP="00016BC0">
      <w:pPr>
        <w:widowControl w:val="0"/>
        <w:autoSpaceDE w:val="0"/>
        <w:autoSpaceDN w:val="0"/>
        <w:ind w:right="1"/>
        <w:rPr>
          <w:rFonts w:eastAsia="Times New Roman"/>
          <w:iCs/>
          <w:lang w:val="en-US"/>
        </w:rPr>
      </w:pPr>
    </w:p>
    <w:p w:rsidR="00016BC0" w:rsidRPr="005F1BAC" w:rsidRDefault="00016BC0" w:rsidP="005F1BAC">
      <w:pPr>
        <w:pStyle w:val="ListParagraph"/>
        <w:widowControl w:val="0"/>
        <w:numPr>
          <w:ilvl w:val="0"/>
          <w:numId w:val="6"/>
        </w:numPr>
        <w:autoSpaceDE w:val="0"/>
        <w:autoSpaceDN w:val="0"/>
        <w:ind w:right="1"/>
        <w:rPr>
          <w:rFonts w:eastAsia="Times New Roman"/>
          <w:iCs/>
          <w:lang w:val="en-US"/>
        </w:rPr>
      </w:pPr>
      <w:r w:rsidRPr="005F1BAC">
        <w:rPr>
          <w:rFonts w:eastAsia="Times New Roman"/>
          <w:iCs/>
          <w:lang w:val="en-US"/>
        </w:rPr>
        <w:t>It is considered that the principle of student accommodation is acceptable in this location as the site is adjacent to the Cowley Road, a major thoroughfare, and indoor and outdoor space is shown, discussed elsewhere in this report.  The Applicant has also agreed to an on-site Warden.  Conditions are suggested relating to bringing cars to Oxford and management of the students.</w:t>
      </w:r>
    </w:p>
    <w:p w:rsidR="00E935DF" w:rsidRDefault="00E935DF" w:rsidP="00016BC0">
      <w:pPr>
        <w:widowControl w:val="0"/>
        <w:autoSpaceDE w:val="0"/>
        <w:autoSpaceDN w:val="0"/>
        <w:ind w:right="1"/>
        <w:rPr>
          <w:rFonts w:eastAsia="Times New Roman"/>
          <w:iCs/>
          <w:lang w:val="en-US"/>
        </w:rPr>
      </w:pPr>
    </w:p>
    <w:p w:rsidR="00E935DF" w:rsidRPr="00847B57" w:rsidRDefault="00E935DF" w:rsidP="005F1BAC">
      <w:pPr>
        <w:pStyle w:val="ListParagraph"/>
        <w:widowControl w:val="0"/>
        <w:numPr>
          <w:ilvl w:val="0"/>
          <w:numId w:val="6"/>
        </w:numPr>
        <w:autoSpaceDE w:val="0"/>
        <w:autoSpaceDN w:val="0"/>
        <w:ind w:right="1"/>
      </w:pPr>
      <w:r w:rsidRPr="005F1BAC">
        <w:rPr>
          <w:rFonts w:eastAsia="Times New Roman"/>
          <w:iCs/>
          <w:lang w:val="en-US"/>
        </w:rPr>
        <w:t xml:space="preserve">In terms of use of the accommodation out of term time, it is considered reasonable to allow such a use given that Mansion Mews adjacent is allowed out of term time use, as it the case with </w:t>
      </w:r>
      <w:r w:rsidR="00DF2CE2">
        <w:rPr>
          <w:rFonts w:eastAsia="Times New Roman"/>
          <w:iCs/>
          <w:lang w:val="en-US"/>
        </w:rPr>
        <w:t xml:space="preserve">much of </w:t>
      </w:r>
      <w:proofErr w:type="gramStart"/>
      <w:r w:rsidR="00DF2CE2">
        <w:rPr>
          <w:rFonts w:eastAsia="Times New Roman"/>
          <w:iCs/>
          <w:lang w:val="en-US"/>
        </w:rPr>
        <w:t xml:space="preserve">the </w:t>
      </w:r>
      <w:r w:rsidRPr="005F1BAC">
        <w:rPr>
          <w:rFonts w:eastAsia="Times New Roman"/>
          <w:iCs/>
          <w:lang w:val="en-US"/>
        </w:rPr>
        <w:t xml:space="preserve"> </w:t>
      </w:r>
      <w:r w:rsidR="00DF2CE2">
        <w:rPr>
          <w:rFonts w:eastAsia="Times New Roman"/>
          <w:iCs/>
          <w:lang w:val="en-US"/>
        </w:rPr>
        <w:t>student</w:t>
      </w:r>
      <w:proofErr w:type="gramEnd"/>
      <w:r w:rsidR="00DF2CE2">
        <w:rPr>
          <w:rFonts w:eastAsia="Times New Roman"/>
          <w:iCs/>
          <w:lang w:val="en-US"/>
        </w:rPr>
        <w:t xml:space="preserve"> </w:t>
      </w:r>
      <w:r w:rsidRPr="005F1BAC">
        <w:rPr>
          <w:rFonts w:eastAsia="Times New Roman"/>
          <w:iCs/>
          <w:lang w:val="en-US"/>
        </w:rPr>
        <w:t xml:space="preserve">accommodation within the City now.  </w:t>
      </w:r>
    </w:p>
    <w:p w:rsidR="007348F7" w:rsidRDefault="007348F7" w:rsidP="00D9172F"/>
    <w:p w:rsidR="007348F7" w:rsidRPr="00016BC0" w:rsidRDefault="00D77584" w:rsidP="00D9172F">
      <w:pPr>
        <w:rPr>
          <w:i/>
          <w:u w:val="single"/>
        </w:rPr>
      </w:pPr>
      <w:r w:rsidRPr="00016BC0">
        <w:rPr>
          <w:i/>
          <w:u w:val="single"/>
        </w:rPr>
        <w:t xml:space="preserve">Design and impact on </w:t>
      </w:r>
      <w:proofErr w:type="spellStart"/>
      <w:r w:rsidRPr="00016BC0">
        <w:rPr>
          <w:i/>
          <w:u w:val="single"/>
        </w:rPr>
        <w:t>Street</w:t>
      </w:r>
      <w:r w:rsidR="0067001D" w:rsidRPr="00016BC0">
        <w:rPr>
          <w:i/>
          <w:u w:val="single"/>
        </w:rPr>
        <w:t>s</w:t>
      </w:r>
      <w:r w:rsidRPr="00016BC0">
        <w:rPr>
          <w:i/>
          <w:u w:val="single"/>
        </w:rPr>
        <w:t>cene</w:t>
      </w:r>
      <w:proofErr w:type="spellEnd"/>
      <w:r w:rsidRPr="00016BC0">
        <w:rPr>
          <w:i/>
          <w:u w:val="single"/>
        </w:rPr>
        <w:t xml:space="preserve"> and Heritage Assets:</w:t>
      </w:r>
    </w:p>
    <w:p w:rsidR="00D77584" w:rsidRDefault="00D77584" w:rsidP="00D9172F"/>
    <w:p w:rsidR="00D77584" w:rsidRDefault="00D77584" w:rsidP="005F1BAC">
      <w:pPr>
        <w:pStyle w:val="ListParagraph"/>
        <w:numPr>
          <w:ilvl w:val="0"/>
          <w:numId w:val="6"/>
        </w:numPr>
      </w:pPr>
      <w:r>
        <w:t>The Inspector did concur with the Council</w:t>
      </w:r>
      <w:r w:rsidR="00DF2CE2">
        <w:t>’</w:t>
      </w:r>
      <w:r>
        <w:t xml:space="preserve">s view that the appeal schemes would be harmful to the non-designated </w:t>
      </w:r>
      <w:r w:rsidR="008B74AE">
        <w:t>heritage</w:t>
      </w:r>
      <w:r>
        <w:t xml:space="preserve"> asset of Canterbury House in terms of </w:t>
      </w:r>
      <w:r w:rsidR="00E714B9">
        <w:t>scale, massing and proximity, paras 67-</w:t>
      </w:r>
      <w:r>
        <w:t xml:space="preserve"> </w:t>
      </w:r>
      <w:r w:rsidR="00E714B9">
        <w:t>7</w:t>
      </w:r>
      <w:r>
        <w:t xml:space="preserve">8 refer.  She agreed that the </w:t>
      </w:r>
      <w:r w:rsidR="00E714B9">
        <w:t>vacant</w:t>
      </w:r>
      <w:r>
        <w:t xml:space="preserve"> plot is a transition site </w:t>
      </w:r>
      <w:r w:rsidR="00E714B9">
        <w:t>between</w:t>
      </w:r>
      <w:r>
        <w:t xml:space="preserve"> </w:t>
      </w:r>
      <w:r w:rsidR="00E714B9">
        <w:t>Canterbury</w:t>
      </w:r>
      <w:r>
        <w:t xml:space="preserve"> </w:t>
      </w:r>
      <w:r w:rsidR="00DF2CE2">
        <w:t>H</w:t>
      </w:r>
      <w:r>
        <w:t xml:space="preserve">ouse </w:t>
      </w:r>
      <w:r w:rsidR="00E714B9">
        <w:t>and</w:t>
      </w:r>
      <w:r>
        <w:t xml:space="preserve"> the taller flats on Reliance Way and any new building </w:t>
      </w:r>
      <w:r w:rsidR="00E714B9">
        <w:t>should</w:t>
      </w:r>
      <w:r>
        <w:t xml:space="preserve"> address the c</w:t>
      </w:r>
      <w:r w:rsidR="00E714B9">
        <w:t>hange in massing between the t</w:t>
      </w:r>
      <w:r>
        <w:t>w</w:t>
      </w:r>
      <w:r w:rsidR="00E714B9">
        <w:t>o</w:t>
      </w:r>
      <w:r>
        <w:t>.</w:t>
      </w:r>
    </w:p>
    <w:p w:rsidR="00D77584" w:rsidRDefault="00D77584" w:rsidP="00D9172F"/>
    <w:p w:rsidR="008B74AE" w:rsidRDefault="00C90519" w:rsidP="005F1BAC">
      <w:pPr>
        <w:pStyle w:val="ListParagraph"/>
        <w:numPr>
          <w:ilvl w:val="0"/>
          <w:numId w:val="6"/>
        </w:numPr>
      </w:pPr>
      <w:r>
        <w:t xml:space="preserve">The Applicant has amended the </w:t>
      </w:r>
      <w:r w:rsidR="008B74AE">
        <w:t xml:space="preserve">submitted </w:t>
      </w:r>
      <w:r>
        <w:t xml:space="preserve">plans in light of the </w:t>
      </w:r>
      <w:r w:rsidR="001A7A5C">
        <w:t>Inspector’s</w:t>
      </w:r>
      <w:r>
        <w:t xml:space="preserve"> decision in relation to the proximity layout </w:t>
      </w:r>
      <w:r w:rsidR="00D72ED8">
        <w:t xml:space="preserve">and scale (height and bulk) </w:t>
      </w:r>
      <w:r>
        <w:t xml:space="preserve">of the indicative </w:t>
      </w:r>
      <w:r w:rsidR="008B74AE">
        <w:t>building</w:t>
      </w:r>
      <w:r>
        <w:t xml:space="preserve"> adjacent to Canterbury House</w:t>
      </w:r>
      <w:r w:rsidR="008B74AE">
        <w:t>.  This part of the application is in outline for which layout, scale and</w:t>
      </w:r>
      <w:r>
        <w:t xml:space="preserve"> access is secured and other matters </w:t>
      </w:r>
      <w:r w:rsidR="008B74AE">
        <w:t>of</w:t>
      </w:r>
      <w:r>
        <w:t xml:space="preserve"> </w:t>
      </w:r>
      <w:r w:rsidR="008B74AE">
        <w:t xml:space="preserve">appearance and landscaping </w:t>
      </w:r>
      <w:r>
        <w:t xml:space="preserve">are reserved.  </w:t>
      </w:r>
    </w:p>
    <w:p w:rsidR="008B74AE" w:rsidRDefault="008B74AE" w:rsidP="00D9172F"/>
    <w:p w:rsidR="00C90519" w:rsidRDefault="00C90519" w:rsidP="005F1BAC">
      <w:pPr>
        <w:pStyle w:val="ListParagraph"/>
        <w:numPr>
          <w:ilvl w:val="0"/>
          <w:numId w:val="6"/>
        </w:numPr>
      </w:pPr>
      <w:r>
        <w:t xml:space="preserve">The revised </w:t>
      </w:r>
      <w:r w:rsidR="008B74AE">
        <w:t>layout</w:t>
      </w:r>
      <w:r>
        <w:t xml:space="preserve"> shows the building set back in </w:t>
      </w:r>
      <w:r w:rsidR="008B74AE">
        <w:t>line</w:t>
      </w:r>
      <w:r>
        <w:t xml:space="preserve"> with Canterbury </w:t>
      </w:r>
      <w:r w:rsidR="008B74AE">
        <w:t>House and then staggered</w:t>
      </w:r>
      <w:r>
        <w:t xml:space="preserve"> ou</w:t>
      </w:r>
      <w:r w:rsidR="008B74AE">
        <w:t>t</w:t>
      </w:r>
      <w:r>
        <w:t xml:space="preserve"> </w:t>
      </w:r>
      <w:r w:rsidR="0067001D">
        <w:t>to come</w:t>
      </w:r>
      <w:r>
        <w:t xml:space="preserve"> in line </w:t>
      </w:r>
      <w:r w:rsidR="008B74AE">
        <w:t>with</w:t>
      </w:r>
      <w:r>
        <w:t xml:space="preserve"> the </w:t>
      </w:r>
      <w:r w:rsidR="008B74AE">
        <w:t xml:space="preserve">flats </w:t>
      </w:r>
      <w:r>
        <w:t xml:space="preserve">on </w:t>
      </w:r>
      <w:r w:rsidR="008B74AE">
        <w:t xml:space="preserve">the corner of </w:t>
      </w:r>
      <w:r>
        <w:t>Reliance Way</w:t>
      </w:r>
      <w:r w:rsidR="008B74AE">
        <w:t xml:space="preserve"> and Cowley Road</w:t>
      </w:r>
      <w:r>
        <w:t xml:space="preserve">.  </w:t>
      </w:r>
      <w:r w:rsidR="00B06A1E">
        <w:t>The new building would have a</w:t>
      </w:r>
      <w:r w:rsidR="008B74AE">
        <w:t xml:space="preserve"> distance of approximately </w:t>
      </w:r>
      <w:r w:rsidR="00B06A1E">
        <w:t>3.5m</w:t>
      </w:r>
      <w:r w:rsidR="00D72ED8">
        <w:t xml:space="preserve"> </w:t>
      </w:r>
      <w:r w:rsidR="00B06A1E">
        <w:t xml:space="preserve">to </w:t>
      </w:r>
      <w:r w:rsidR="00D72ED8">
        <w:t>Canterbury</w:t>
      </w:r>
      <w:r w:rsidR="00B06A1E">
        <w:t xml:space="preserve"> House to allow access through to the rear</w:t>
      </w:r>
      <w:r w:rsidR="00D72ED8">
        <w:t xml:space="preserve"> courtyard area</w:t>
      </w:r>
      <w:r w:rsidR="00B06A1E">
        <w:t xml:space="preserve">.  </w:t>
      </w:r>
      <w:r w:rsidR="00D72ED8">
        <w:t>Officer</w:t>
      </w:r>
      <w:r>
        <w:t>s consider that the distance from Canterbury House is appropriate</w:t>
      </w:r>
      <w:r w:rsidR="00DF2CE2">
        <w:t>,</w:t>
      </w:r>
      <w:r>
        <w:t xml:space="preserve"> </w:t>
      </w:r>
      <w:r w:rsidR="00DF2CE2">
        <w:t xml:space="preserve">as </w:t>
      </w:r>
      <w:proofErr w:type="gramStart"/>
      <w:r w:rsidR="00DF2CE2">
        <w:t xml:space="preserve">is </w:t>
      </w:r>
      <w:r>
        <w:t xml:space="preserve"> the</w:t>
      </w:r>
      <w:proofErr w:type="gramEnd"/>
      <w:r>
        <w:t xml:space="preserve"> building line</w:t>
      </w:r>
      <w:r w:rsidR="00B06A1E">
        <w:t xml:space="preserve"> proposed</w:t>
      </w:r>
      <w:r>
        <w:t>.</w:t>
      </w:r>
    </w:p>
    <w:p w:rsidR="00C90519" w:rsidRDefault="00C90519" w:rsidP="00D9172F"/>
    <w:p w:rsidR="009E1D61" w:rsidRDefault="00C90519" w:rsidP="005F1BAC">
      <w:pPr>
        <w:pStyle w:val="ListParagraph"/>
        <w:numPr>
          <w:ilvl w:val="0"/>
          <w:numId w:val="6"/>
        </w:numPr>
      </w:pPr>
      <w:r>
        <w:t>It should be noted that indicative</w:t>
      </w:r>
      <w:r w:rsidR="00AA6C10">
        <w:t xml:space="preserve"> alternative </w:t>
      </w:r>
      <w:r>
        <w:t xml:space="preserve">elevations </w:t>
      </w:r>
      <w:r w:rsidR="00AA6C10">
        <w:t>(A,</w:t>
      </w:r>
      <w:r w:rsidR="0067001D">
        <w:t xml:space="preserve"> </w:t>
      </w:r>
      <w:r w:rsidR="00AA6C10">
        <w:t>B &amp; C)</w:t>
      </w:r>
      <w:r w:rsidR="0067001D">
        <w:t xml:space="preserve"> </w:t>
      </w:r>
      <w:r>
        <w:t xml:space="preserve">have been submitted also to show </w:t>
      </w:r>
      <w:r w:rsidR="00B06A1E">
        <w:t>what</w:t>
      </w:r>
      <w:r>
        <w:t xml:space="preserve"> could</w:t>
      </w:r>
      <w:r w:rsidR="00B06A1E">
        <w:t xml:space="preserve"> </w:t>
      </w:r>
      <w:r>
        <w:t>be achieved with this revised layout</w:t>
      </w:r>
      <w:r w:rsidR="00D72ED8">
        <w:t xml:space="preserve"> in terms of overall scale, and appearance</w:t>
      </w:r>
      <w:r>
        <w:t xml:space="preserve">.  It should </w:t>
      </w:r>
      <w:r w:rsidR="00B06A1E">
        <w:t>be</w:t>
      </w:r>
      <w:r>
        <w:t xml:space="preserve"> </w:t>
      </w:r>
      <w:r w:rsidR="00B06A1E" w:rsidRPr="00B06A1E">
        <w:t>emphasised</w:t>
      </w:r>
      <w:r>
        <w:t xml:space="preserve"> that t</w:t>
      </w:r>
      <w:r w:rsidR="00B06A1E">
        <w:t>hese are indicative and hold no</w:t>
      </w:r>
      <w:r>
        <w:t xml:space="preserve"> material weight as </w:t>
      </w:r>
      <w:r w:rsidR="00B06A1E">
        <w:t xml:space="preserve">appearance is </w:t>
      </w:r>
      <w:r w:rsidR="00D024C2">
        <w:t>a reserved matter</w:t>
      </w:r>
      <w:r>
        <w:t>.</w:t>
      </w:r>
      <w:r w:rsidR="00B06A1E">
        <w:t xml:space="preserve">  However, scale </w:t>
      </w:r>
      <w:r w:rsidR="00D72ED8">
        <w:t>i.e. the proportions of the building (height/ width) in relation to its footprint and relationship to other buildings is sought.  I</w:t>
      </w:r>
      <w:r w:rsidR="00B06A1E">
        <w:t xml:space="preserve">t is clear </w:t>
      </w:r>
      <w:r w:rsidR="002F2F3E">
        <w:lastRenderedPageBreak/>
        <w:t>that</w:t>
      </w:r>
      <w:r w:rsidR="00B06A1E">
        <w:t xml:space="preserve"> the </w:t>
      </w:r>
      <w:r w:rsidR="002F2F3E">
        <w:t>building</w:t>
      </w:r>
      <w:r w:rsidR="00B06A1E">
        <w:t xml:space="preserve"> should form a transition between </w:t>
      </w:r>
      <w:r w:rsidR="002F2F3E">
        <w:t>the higher flats on Relia</w:t>
      </w:r>
      <w:r w:rsidR="00B06A1E">
        <w:t>n</w:t>
      </w:r>
      <w:r w:rsidR="002F2F3E">
        <w:t>c</w:t>
      </w:r>
      <w:r w:rsidR="00B06A1E">
        <w:t xml:space="preserve">e </w:t>
      </w:r>
      <w:r w:rsidR="002F2F3E">
        <w:t>W</w:t>
      </w:r>
      <w:r w:rsidR="00B06A1E">
        <w:t>ay and st</w:t>
      </w:r>
      <w:r w:rsidR="00AA6C10">
        <w:t>ep down to Canterbury H</w:t>
      </w:r>
      <w:r w:rsidR="00B06A1E">
        <w:t xml:space="preserve">ouse.  </w:t>
      </w:r>
    </w:p>
    <w:p w:rsidR="009E1D61" w:rsidRDefault="009E1D61" w:rsidP="00D9172F"/>
    <w:p w:rsidR="00D72ED8" w:rsidRDefault="009E1D61" w:rsidP="005F1BAC">
      <w:pPr>
        <w:pStyle w:val="ListParagraph"/>
        <w:numPr>
          <w:ilvl w:val="0"/>
          <w:numId w:val="6"/>
        </w:numPr>
      </w:pPr>
      <w:r>
        <w:t xml:space="preserve">The floor plans show the new building effectively as two elements connected by a central landing core, providing direct ground floor access from Cowley Rd, through to the rear.  </w:t>
      </w:r>
      <w:r w:rsidR="00951DFB">
        <w:t xml:space="preserve">It is envisaged that ground and first floors would have 9 </w:t>
      </w:r>
      <w:proofErr w:type="gramStart"/>
      <w:r w:rsidR="00951DFB">
        <w:t>rooms,</w:t>
      </w:r>
      <w:proofErr w:type="gramEnd"/>
      <w:r w:rsidR="00951DFB">
        <w:t xml:space="preserve"> and 6 on the second making 24 rooms in total with shared facilities.  </w:t>
      </w:r>
      <w:r w:rsidR="00B06A1E">
        <w:t xml:space="preserve">The indicative elevations do show that to </w:t>
      </w:r>
      <w:r>
        <w:t>a certain extent, albeit with an unusual</w:t>
      </w:r>
      <w:r w:rsidR="00B06A1E">
        <w:t xml:space="preserve"> roof formation on a contemporary </w:t>
      </w:r>
      <w:r w:rsidR="002F2F3E">
        <w:t xml:space="preserve">block </w:t>
      </w:r>
      <w:r w:rsidR="00D72ED8">
        <w:t>form</w:t>
      </w:r>
      <w:r w:rsidR="00AA6C10">
        <w:t xml:space="preserve"> in Alternative B and C</w:t>
      </w:r>
      <w:r w:rsidR="00D72ED8">
        <w:t>, a transitional building could be achieved</w:t>
      </w:r>
      <w:r w:rsidR="00B06A1E">
        <w:t xml:space="preserve">. </w:t>
      </w:r>
      <w:r w:rsidR="00AA6C10">
        <w:t xml:space="preserve"> However, the building shown is essentially 3 storeys and where adjacent to Canterbury House the top floor accommodation would be at roof level.  In a traditional architectural form this could be achieved with a pitched roof and dormer windows.</w:t>
      </w:r>
    </w:p>
    <w:p w:rsidR="00D72ED8" w:rsidRDefault="00D72ED8" w:rsidP="00D9172F"/>
    <w:p w:rsidR="009E1D61" w:rsidRDefault="002F2F3E" w:rsidP="005F1BAC">
      <w:pPr>
        <w:pStyle w:val="ListParagraph"/>
        <w:numPr>
          <w:ilvl w:val="0"/>
          <w:numId w:val="6"/>
        </w:numPr>
      </w:pPr>
      <w:r>
        <w:t>N</w:t>
      </w:r>
      <w:r w:rsidR="00AA6C10">
        <w:t>otwithstanding</w:t>
      </w:r>
      <w:r w:rsidR="00B06A1E">
        <w:t xml:space="preserve"> the </w:t>
      </w:r>
      <w:r w:rsidR="00AA6C10">
        <w:t xml:space="preserve">alternative elevations, it is considered that the </w:t>
      </w:r>
      <w:r w:rsidR="00B06A1E">
        <w:t xml:space="preserve">new </w:t>
      </w:r>
      <w:r>
        <w:t>building</w:t>
      </w:r>
      <w:r w:rsidR="00B06A1E">
        <w:t xml:space="preserve"> should not be higher than the ridge line of Canterbury House in order for it to have an appropriate relationship to that building</w:t>
      </w:r>
      <w:r w:rsidR="00AA6C10">
        <w:t>.</w:t>
      </w:r>
      <w:r w:rsidR="00B06A1E">
        <w:t xml:space="preserve">   </w:t>
      </w:r>
      <w:r w:rsidR="009E1D61">
        <w:t xml:space="preserve"> However, i</w:t>
      </w:r>
      <w:r w:rsidR="00B06A1E">
        <w:t xml:space="preserve">t is also considered </w:t>
      </w:r>
      <w:r>
        <w:t>acceptable</w:t>
      </w:r>
      <w:r w:rsidR="00B06A1E">
        <w:t xml:space="preserve"> fo</w:t>
      </w:r>
      <w:r>
        <w:t>r</w:t>
      </w:r>
      <w:r w:rsidR="00B06A1E">
        <w:t xml:space="preserve"> the </w:t>
      </w:r>
      <w:r>
        <w:t>building</w:t>
      </w:r>
      <w:r w:rsidR="00B06A1E">
        <w:t xml:space="preserve"> to go higher on the corner with Reliance Way so as to </w:t>
      </w:r>
      <w:r w:rsidR="009E1D61">
        <w:t>have</w:t>
      </w:r>
      <w:r w:rsidR="00E87737">
        <w:t xml:space="preserve"> an appropriate relationship to </w:t>
      </w:r>
      <w:r w:rsidR="009E1D61">
        <w:t xml:space="preserve">the flats on the opposite corner.   It is considered that a condition on the outline element of any permission could reasonably secure these maxima heights.  This layout together with restricted </w:t>
      </w:r>
      <w:r w:rsidR="00951DFB">
        <w:t xml:space="preserve">heights </w:t>
      </w:r>
      <w:r w:rsidR="009E1D61">
        <w:t>would in Officer’s view achieve a building of an appropriate s</w:t>
      </w:r>
      <w:r w:rsidR="00951DFB">
        <w:t>cale such that approval is recommended.</w:t>
      </w:r>
    </w:p>
    <w:p w:rsidR="009E1D61" w:rsidRDefault="009E1D61" w:rsidP="00FC00C4"/>
    <w:p w:rsidR="00951DFB" w:rsidRPr="00EB7BC9" w:rsidRDefault="00951DFB" w:rsidP="00FC00C4">
      <w:pPr>
        <w:rPr>
          <w:b/>
        </w:rPr>
      </w:pPr>
      <w:r w:rsidRPr="00EB7BC9">
        <w:rPr>
          <w:b/>
        </w:rPr>
        <w:t xml:space="preserve">Other Matters: </w:t>
      </w:r>
    </w:p>
    <w:p w:rsidR="00951DFB" w:rsidRDefault="00951DFB" w:rsidP="00FC00C4"/>
    <w:p w:rsidR="00951DFB" w:rsidRPr="00EB7BC9" w:rsidRDefault="00951DFB" w:rsidP="00FC00C4">
      <w:pPr>
        <w:rPr>
          <w:i/>
          <w:u w:val="single"/>
        </w:rPr>
      </w:pPr>
      <w:r w:rsidRPr="00EB7BC9">
        <w:rPr>
          <w:i/>
          <w:u w:val="single"/>
        </w:rPr>
        <w:t xml:space="preserve">Highways </w:t>
      </w:r>
      <w:proofErr w:type="gramStart"/>
      <w:r w:rsidRPr="00EB7BC9">
        <w:rPr>
          <w:i/>
          <w:u w:val="single"/>
        </w:rPr>
        <w:t xml:space="preserve">Matters </w:t>
      </w:r>
      <w:r w:rsidR="00EB7BC9">
        <w:rPr>
          <w:i/>
          <w:u w:val="single"/>
        </w:rPr>
        <w:t>:</w:t>
      </w:r>
      <w:proofErr w:type="gramEnd"/>
    </w:p>
    <w:p w:rsidR="00EE7492" w:rsidRDefault="00EE7492" w:rsidP="00FC00C4"/>
    <w:p w:rsidR="00EE7492" w:rsidRPr="002B5097" w:rsidRDefault="00EE7492" w:rsidP="005F1BAC">
      <w:pPr>
        <w:ind w:firstLine="720"/>
        <w:rPr>
          <w:i/>
        </w:rPr>
      </w:pPr>
      <w:r w:rsidRPr="002B5097">
        <w:rPr>
          <w:i/>
        </w:rPr>
        <w:t xml:space="preserve">Access </w:t>
      </w:r>
      <w:r w:rsidR="00BB769A" w:rsidRPr="002B5097">
        <w:rPr>
          <w:i/>
        </w:rPr>
        <w:t xml:space="preserve"> </w:t>
      </w:r>
    </w:p>
    <w:p w:rsidR="00BB769A" w:rsidRDefault="00EE7492" w:rsidP="005F1BAC">
      <w:pPr>
        <w:pStyle w:val="ListParagraph"/>
        <w:numPr>
          <w:ilvl w:val="0"/>
          <w:numId w:val="6"/>
        </w:numPr>
      </w:pPr>
      <w:r>
        <w:t>The access is now narrower as a result of the revised layout</w:t>
      </w:r>
      <w:r w:rsidR="005F1BAC">
        <w:t xml:space="preserve"> submitted</w:t>
      </w:r>
      <w:r>
        <w:t>.  The County H</w:t>
      </w:r>
      <w:r w:rsidR="00DF2CE2">
        <w:t xml:space="preserve">ighway </w:t>
      </w:r>
      <w:r>
        <w:t>A</w:t>
      </w:r>
      <w:r w:rsidR="00DF2CE2">
        <w:t>uthority</w:t>
      </w:r>
      <w:r>
        <w:t xml:space="preserve"> has been re</w:t>
      </w:r>
      <w:r w:rsidR="005F1BAC">
        <w:t>-consulted on the revised plan</w:t>
      </w:r>
      <w:r>
        <w:t xml:space="preserve"> a</w:t>
      </w:r>
      <w:r w:rsidR="00BB769A">
        <w:t xml:space="preserve">nd </w:t>
      </w:r>
      <w:r w:rsidR="00E935DF">
        <w:t>is</w:t>
      </w:r>
      <w:r w:rsidR="00BB769A">
        <w:t xml:space="preserve"> content with the access</w:t>
      </w:r>
      <w:r>
        <w:t xml:space="preserve"> given the low number of car users </w:t>
      </w:r>
      <w:r w:rsidR="00BB769A">
        <w:t>(</w:t>
      </w:r>
      <w:r>
        <w:t xml:space="preserve">limited </w:t>
      </w:r>
      <w:r w:rsidR="00BB769A">
        <w:t>to</w:t>
      </w:r>
      <w:r>
        <w:t xml:space="preserve"> disabled and servicing</w:t>
      </w:r>
      <w:r w:rsidR="00BB769A">
        <w:t>)</w:t>
      </w:r>
      <w:r>
        <w:t xml:space="preserve">. </w:t>
      </w:r>
      <w:r w:rsidR="00BB769A">
        <w:t xml:space="preserve">  </w:t>
      </w:r>
    </w:p>
    <w:p w:rsidR="00E935DF" w:rsidRDefault="00E935DF" w:rsidP="00EE7492"/>
    <w:p w:rsidR="00BB769A" w:rsidRPr="002B5097" w:rsidRDefault="00BB769A" w:rsidP="005F1BAC">
      <w:pPr>
        <w:ind w:firstLine="720"/>
        <w:rPr>
          <w:i/>
        </w:rPr>
      </w:pPr>
      <w:r w:rsidRPr="002B5097">
        <w:rPr>
          <w:i/>
        </w:rPr>
        <w:t>Car parking</w:t>
      </w:r>
    </w:p>
    <w:p w:rsidR="00E935DF" w:rsidRDefault="00BB769A" w:rsidP="005F1BAC">
      <w:pPr>
        <w:pStyle w:val="ListParagraph"/>
        <w:numPr>
          <w:ilvl w:val="0"/>
          <w:numId w:val="6"/>
        </w:numPr>
      </w:pPr>
      <w:r>
        <w:t xml:space="preserve">Where large infill student accommodation developments are proposed in areas outside the Transport Central Area such as this and where an existing access is used, car parking should be for servicing and disabled parking only (5% per room guideline).  The plans indicate 3 </w:t>
      </w:r>
      <w:r w:rsidR="00E935DF">
        <w:t>disabled parking spaces shared with servicing parking.  T</w:t>
      </w:r>
      <w:r>
        <w:t>his would be adequate in this sustainable location</w:t>
      </w:r>
      <w:r w:rsidR="00E935DF">
        <w:t xml:space="preserve"> with good bus services</w:t>
      </w:r>
      <w:r>
        <w:t xml:space="preserve">.  </w:t>
      </w:r>
      <w:r w:rsidR="00E935DF">
        <w:t>H</w:t>
      </w:r>
      <w:r>
        <w:t xml:space="preserve">owever, they should be marked out and in such a way so that vehicles can turn around and exit in a forward gear. </w:t>
      </w:r>
      <w:r w:rsidR="00E935DF">
        <w:t xml:space="preserve"> A plan showing tracking has been submitted and demonstrates that vehicles can turn and exit even with all three parking spaces occupied.</w:t>
      </w:r>
    </w:p>
    <w:p w:rsidR="00E935DF" w:rsidRDefault="00E935DF" w:rsidP="00EE7492"/>
    <w:p w:rsidR="00AA2CC3" w:rsidRDefault="00BB769A" w:rsidP="005F1BAC">
      <w:pPr>
        <w:pStyle w:val="ListParagraph"/>
        <w:numPr>
          <w:ilvl w:val="0"/>
          <w:numId w:val="6"/>
        </w:numPr>
      </w:pPr>
      <w:r>
        <w:t>Students will be required not to bring cars to Oxford, HP16 of the SHP refers</w:t>
      </w:r>
      <w:r w:rsidR="002B5097">
        <w:t xml:space="preserve">, which can be secured via condition, and the Applicant confirms this would be the case.  </w:t>
      </w:r>
      <w:r w:rsidR="00AA2CC3">
        <w:t>The HA raised concerns previously regarding car parking at the beginning and end of terms and impact on the highway</w:t>
      </w:r>
      <w:r w:rsidR="002B5097">
        <w:t xml:space="preserve">.  Officers consider this could be effectively managed via a management booking system or similar </w:t>
      </w:r>
      <w:r w:rsidR="002B5097">
        <w:lastRenderedPageBreak/>
        <w:t>procedure, which has been effectively implemented for other student Accommodation in similar locations (e.g. Dorset House, Headington)</w:t>
      </w:r>
      <w:r w:rsidR="00AA2CC3">
        <w:t xml:space="preserve">.  </w:t>
      </w:r>
      <w:r w:rsidR="002B5097">
        <w:t>This could be secured via condition.</w:t>
      </w:r>
    </w:p>
    <w:p w:rsidR="002B5097" w:rsidRDefault="002B5097" w:rsidP="00EE7492"/>
    <w:p w:rsidR="00BB769A" w:rsidRPr="002B5097" w:rsidRDefault="00BB769A" w:rsidP="005F1BAC">
      <w:pPr>
        <w:ind w:firstLine="720"/>
        <w:rPr>
          <w:i/>
        </w:rPr>
      </w:pPr>
      <w:r w:rsidRPr="002B5097">
        <w:rPr>
          <w:i/>
        </w:rPr>
        <w:t>Cycle parking</w:t>
      </w:r>
    </w:p>
    <w:p w:rsidR="00EE7492" w:rsidRDefault="00BB769A" w:rsidP="005F1BAC">
      <w:pPr>
        <w:pStyle w:val="ListParagraph"/>
        <w:numPr>
          <w:ilvl w:val="0"/>
          <w:numId w:val="6"/>
        </w:numPr>
      </w:pPr>
      <w:r w:rsidRPr="009F6588">
        <w:t xml:space="preserve">The standard </w:t>
      </w:r>
      <w:r>
        <w:t xml:space="preserve">parking cycle </w:t>
      </w:r>
      <w:r w:rsidRPr="009F6588">
        <w:t>requirement is 3 spaces for every 4 study bedrooms, HP15 of the SHP refers.</w:t>
      </w:r>
      <w:r>
        <w:t xml:space="preserve">  </w:t>
      </w:r>
      <w:r w:rsidR="00EB7BC9">
        <w:t>Th</w:t>
      </w:r>
      <w:r>
        <w:t>e</w:t>
      </w:r>
      <w:r w:rsidR="00EB7BC9">
        <w:t xml:space="preserve"> </w:t>
      </w:r>
      <w:r>
        <w:t>proposal meets this requirement</w:t>
      </w:r>
      <w:r w:rsidR="002B5097">
        <w:t xml:space="preserve"> and further details c</w:t>
      </w:r>
      <w:r w:rsidR="00EF73B7">
        <w:t>an</w:t>
      </w:r>
      <w:r w:rsidR="002B5097">
        <w:t xml:space="preserve"> be secured via condition.</w:t>
      </w:r>
    </w:p>
    <w:p w:rsidR="00BB769A" w:rsidRDefault="00BB769A" w:rsidP="00FC00C4"/>
    <w:p w:rsidR="00BB769A" w:rsidRPr="00EB7BC9" w:rsidRDefault="00BB769A" w:rsidP="00FC00C4">
      <w:pPr>
        <w:rPr>
          <w:i/>
          <w:u w:val="single"/>
        </w:rPr>
      </w:pPr>
      <w:r w:rsidRPr="00EB7BC9">
        <w:rPr>
          <w:i/>
          <w:u w:val="single"/>
        </w:rPr>
        <w:t>Internal and External Amenity space:</w:t>
      </w:r>
    </w:p>
    <w:p w:rsidR="00BB769A" w:rsidRDefault="00BB769A" w:rsidP="00FC00C4"/>
    <w:p w:rsidR="00BB769A" w:rsidRDefault="00AA5611" w:rsidP="005F1BAC">
      <w:pPr>
        <w:pStyle w:val="ListParagraph"/>
        <w:numPr>
          <w:ilvl w:val="0"/>
          <w:numId w:val="6"/>
        </w:numPr>
      </w:pPr>
      <w:r>
        <w:t xml:space="preserve">Paragraphs 70-73 of the previous Officer report are relevant.  </w:t>
      </w:r>
      <w:r w:rsidR="00EB7BC9">
        <w:t>The previous student scheme</w:t>
      </w:r>
      <w:r w:rsidR="00BB769A">
        <w:t xml:space="preserve"> that w</w:t>
      </w:r>
      <w:r w:rsidR="00EB7BC9">
        <w:t>as</w:t>
      </w:r>
      <w:r w:rsidR="00BB769A">
        <w:t xml:space="preserve"> dismissed at appeal had the amount and quality of external </w:t>
      </w:r>
      <w:r w:rsidR="00EB7BC9">
        <w:t>ame</w:t>
      </w:r>
      <w:r w:rsidR="00BB769A">
        <w:t>nity s</w:t>
      </w:r>
      <w:r w:rsidR="00EB7BC9">
        <w:t>p</w:t>
      </w:r>
      <w:r w:rsidR="00BB769A">
        <w:t xml:space="preserve">ace cited as a reason for </w:t>
      </w:r>
      <w:r w:rsidR="00EB7BC9">
        <w:t>refusal</w:t>
      </w:r>
      <w:r w:rsidR="00BB769A">
        <w:t xml:space="preserve">.  The Inspector found </w:t>
      </w:r>
      <w:r w:rsidR="00EB7BC9">
        <w:t>that  in that case</w:t>
      </w:r>
      <w:r w:rsidR="00BB769A">
        <w:t xml:space="preserve"> the amount and quality would have been poor on the basis of the </w:t>
      </w:r>
      <w:r w:rsidR="00EB7BC9">
        <w:t xml:space="preserve">quantum and </w:t>
      </w:r>
      <w:r w:rsidR="00BB769A">
        <w:t xml:space="preserve">height and scale </w:t>
      </w:r>
      <w:r w:rsidR="00EB7BC9">
        <w:t>of</w:t>
      </w:r>
      <w:r w:rsidR="00BB769A">
        <w:t xml:space="preserve"> development proposed</w:t>
      </w:r>
      <w:r w:rsidR="00EB7BC9">
        <w:t>, para 84 refers</w:t>
      </w:r>
      <w:r w:rsidR="00BB769A">
        <w:t xml:space="preserve">.  </w:t>
      </w:r>
      <w:r w:rsidR="00EB7BC9">
        <w:t xml:space="preserve">  </w:t>
      </w:r>
    </w:p>
    <w:p w:rsidR="00EB7BC9" w:rsidRDefault="00EB7BC9" w:rsidP="00FC00C4"/>
    <w:p w:rsidR="00EB7BC9" w:rsidRDefault="00EB7BC9" w:rsidP="005F1BAC">
      <w:pPr>
        <w:pStyle w:val="ListParagraph"/>
        <w:numPr>
          <w:ilvl w:val="0"/>
          <w:numId w:val="6"/>
        </w:numPr>
      </w:pPr>
      <w:r>
        <w:t>In this case the outdoor space is for 60 rooms, as opposed</w:t>
      </w:r>
      <w:r w:rsidR="00AA5611">
        <w:t xml:space="preserve"> </w:t>
      </w:r>
      <w:r>
        <w:t>t</w:t>
      </w:r>
      <w:r w:rsidR="00AA5611">
        <w:t>o</w:t>
      </w:r>
      <w:r>
        <w:t xml:space="preserve"> 98, and the revised layout and reduction in height or block A together with the conversion of the existing buildings, would mean that the quality of the internal courtyard space would be improved.   Furthermore a reduction in the level of cycle parking and increased grassed/ </w:t>
      </w:r>
      <w:proofErr w:type="spellStart"/>
      <w:r>
        <w:t>tree’d</w:t>
      </w:r>
      <w:proofErr w:type="spellEnd"/>
      <w:r>
        <w:t xml:space="preserve"> area would provide a larger &amp; more usable space.  It would be 10% of the overall site area in accordance with </w:t>
      </w:r>
      <w:r w:rsidR="00710D39">
        <w:t>Policy</w:t>
      </w:r>
      <w:r>
        <w:t xml:space="preserve"> </w:t>
      </w:r>
      <w:proofErr w:type="gramStart"/>
      <w:r>
        <w:t>HP5(</w:t>
      </w:r>
      <w:proofErr w:type="gramEnd"/>
      <w:r>
        <w:t>e)</w:t>
      </w:r>
      <w:r w:rsidR="00710D39">
        <w:t xml:space="preserve"> </w:t>
      </w:r>
      <w:r>
        <w:t>of</w:t>
      </w:r>
      <w:r w:rsidR="00710D39">
        <w:t xml:space="preserve"> the</w:t>
      </w:r>
      <w:r>
        <w:t xml:space="preserve"> SHP.</w:t>
      </w:r>
      <w:r w:rsidR="00AA5611">
        <w:t xml:space="preserve">  Whilst revised landscaping is shown it is considered that this could be improved </w:t>
      </w:r>
      <w:r w:rsidR="00EF73B7">
        <w:t>further</w:t>
      </w:r>
      <w:r w:rsidR="00AA5611">
        <w:t xml:space="preserve"> and more soft landscaping provided (e.g. in between the rear of Mansion Mews and the cycle parking). Further conditions would be necessary to secure revised landscaping, planting and improved car parking layout (in light of the HA comments above).</w:t>
      </w:r>
    </w:p>
    <w:p w:rsidR="00AA5611" w:rsidRDefault="00AA5611" w:rsidP="00FC00C4"/>
    <w:p w:rsidR="00AA5611" w:rsidRDefault="00AA5611" w:rsidP="005F1BAC">
      <w:pPr>
        <w:pStyle w:val="ListParagraph"/>
        <w:numPr>
          <w:ilvl w:val="0"/>
          <w:numId w:val="6"/>
        </w:numPr>
      </w:pPr>
      <w:r>
        <w:t xml:space="preserve">Internally </w:t>
      </w:r>
      <w:r w:rsidR="00807486">
        <w:t>the communal space provided has improved given the re-design of Block A to the front.  The communal kitchen/ diners measure</w:t>
      </w:r>
      <w:r w:rsidR="002B5097">
        <w:t xml:space="preserve"> a reasonable 4m x 8m in the converted blocks and 4.2m x 6m in Canterbury House and 5m x 5m in new block A.  On balance it is considered </w:t>
      </w:r>
      <w:r w:rsidR="00016BC0">
        <w:t>that</w:t>
      </w:r>
      <w:r w:rsidR="002B5097">
        <w:t xml:space="preserve"> this would be acceptable.</w:t>
      </w:r>
    </w:p>
    <w:p w:rsidR="002B5097" w:rsidRDefault="002B5097" w:rsidP="00FC00C4">
      <w:pPr>
        <w:rPr>
          <w:b/>
          <w:i/>
        </w:rPr>
      </w:pPr>
    </w:p>
    <w:p w:rsidR="002B5097" w:rsidRPr="00847B57" w:rsidRDefault="002B5097" w:rsidP="00FC00C4">
      <w:pPr>
        <w:rPr>
          <w:i/>
          <w:u w:val="single"/>
        </w:rPr>
      </w:pPr>
      <w:r w:rsidRPr="00847B57">
        <w:rPr>
          <w:i/>
          <w:u w:val="single"/>
        </w:rPr>
        <w:t>Impact on Amenities:</w:t>
      </w:r>
    </w:p>
    <w:p w:rsidR="00AA2CC3" w:rsidRDefault="00AA2CC3" w:rsidP="00FC00C4"/>
    <w:p w:rsidR="00AA2CC3" w:rsidRDefault="00847B57" w:rsidP="005F1BAC">
      <w:pPr>
        <w:pStyle w:val="ListParagraph"/>
        <w:numPr>
          <w:ilvl w:val="0"/>
          <w:numId w:val="6"/>
        </w:numPr>
      </w:pPr>
      <w:r>
        <w:t>Th</w:t>
      </w:r>
      <w:r w:rsidR="002B5097">
        <w:t>e</w:t>
      </w:r>
      <w:r>
        <w:t xml:space="preserve"> </w:t>
      </w:r>
      <w:r w:rsidR="002B5097">
        <w:t>Inspect</w:t>
      </w:r>
      <w:r>
        <w:t>or</w:t>
      </w:r>
      <w:r w:rsidR="002B5097">
        <w:t xml:space="preserve"> found </w:t>
      </w:r>
      <w:r>
        <w:t>that th</w:t>
      </w:r>
      <w:r w:rsidR="002B5097">
        <w:t>e</w:t>
      </w:r>
      <w:r>
        <w:t>re</w:t>
      </w:r>
      <w:r w:rsidR="002B5097">
        <w:t xml:space="preserve"> would be no harm to </w:t>
      </w:r>
      <w:r>
        <w:t xml:space="preserve">neighbouring </w:t>
      </w:r>
      <w:r w:rsidR="002B5097">
        <w:t xml:space="preserve">residential </w:t>
      </w:r>
      <w:r>
        <w:t>amenities</w:t>
      </w:r>
      <w:r w:rsidR="002B5097">
        <w:t xml:space="preserve"> from </w:t>
      </w:r>
      <w:r>
        <w:t xml:space="preserve">additional noise and disturbance due to </w:t>
      </w:r>
      <w:r w:rsidR="002B5097">
        <w:t>more student</w:t>
      </w:r>
      <w:r>
        <w:t xml:space="preserve">s in this location, para 90 in particular refers.  Nevertheless the Applicant has said that they would be content for a condition </w:t>
      </w:r>
      <w:r w:rsidR="00EF73B7">
        <w:t xml:space="preserve">to </w:t>
      </w:r>
      <w:r>
        <w:t xml:space="preserve">be imposed to ensure that there is a Warden on site.  Officers consider that this would enable effective </w:t>
      </w:r>
      <w:r w:rsidR="00EF73B7">
        <w:t xml:space="preserve">on-site </w:t>
      </w:r>
      <w:r>
        <w:t>management of the students in all regards.</w:t>
      </w:r>
    </w:p>
    <w:p w:rsidR="00847B57" w:rsidRDefault="00847B57" w:rsidP="00FC00C4"/>
    <w:p w:rsidR="00847B57" w:rsidRDefault="00847B57" w:rsidP="005F1BAC">
      <w:pPr>
        <w:pStyle w:val="ListParagraph"/>
        <w:numPr>
          <w:ilvl w:val="0"/>
          <w:numId w:val="6"/>
        </w:numPr>
      </w:pPr>
      <w:r>
        <w:t xml:space="preserve">In </w:t>
      </w:r>
      <w:proofErr w:type="spellStart"/>
      <w:r>
        <w:t>additionOfficers</w:t>
      </w:r>
      <w:proofErr w:type="spellEnd"/>
      <w:r>
        <w:t xml:space="preserve"> consider that a condition should be imposed restricting the hours of use of the outdoor space</w:t>
      </w:r>
      <w:r w:rsidR="00FC1CEC">
        <w:t xml:space="preserve"> between</w:t>
      </w:r>
      <w:r w:rsidR="00FC1CEC" w:rsidRPr="00FC1CEC">
        <w:t xml:space="preserve"> 08:00 and 21:00</w:t>
      </w:r>
      <w:r w:rsidR="00FC1CEC">
        <w:t xml:space="preserve">hrs </w:t>
      </w:r>
      <w:r>
        <w:t xml:space="preserve">to correspond with that imposed on </w:t>
      </w:r>
      <w:r w:rsidR="00E935DF">
        <w:t>Mansion</w:t>
      </w:r>
      <w:r>
        <w:t xml:space="preserve"> Mews to </w:t>
      </w:r>
      <w:proofErr w:type="gramStart"/>
      <w:r>
        <w:t>mitigate</w:t>
      </w:r>
      <w:proofErr w:type="gramEnd"/>
      <w:r>
        <w:t xml:space="preserve"> against late night noise on neighbouring residents.</w:t>
      </w:r>
    </w:p>
    <w:p w:rsidR="00847B57" w:rsidRDefault="00847B57" w:rsidP="00FC00C4"/>
    <w:p w:rsidR="00847B57" w:rsidRPr="00681A63" w:rsidRDefault="00E935DF" w:rsidP="00FC00C4">
      <w:pPr>
        <w:rPr>
          <w:u w:val="single"/>
        </w:rPr>
      </w:pPr>
      <w:r w:rsidRPr="00681A63">
        <w:rPr>
          <w:i/>
          <w:u w:val="single"/>
        </w:rPr>
        <w:t>Other matters:</w:t>
      </w:r>
    </w:p>
    <w:p w:rsidR="00E935DF" w:rsidRDefault="00E935DF" w:rsidP="00FC00C4"/>
    <w:p w:rsidR="00E935DF" w:rsidRDefault="00E935DF" w:rsidP="005F1BAC">
      <w:pPr>
        <w:pStyle w:val="ListParagraph"/>
        <w:numPr>
          <w:ilvl w:val="0"/>
          <w:numId w:val="6"/>
        </w:numPr>
      </w:pPr>
      <w:r>
        <w:lastRenderedPageBreak/>
        <w:t xml:space="preserve">Other issues relating to Biodiversity, Energy Efficiency, Flooding, Contamination </w:t>
      </w:r>
      <w:r w:rsidR="00236954">
        <w:t xml:space="preserve">and Affordable Housing </w:t>
      </w:r>
      <w:r>
        <w:t>are as set out in the Officers</w:t>
      </w:r>
      <w:r w:rsidR="00EF73B7">
        <w:t>’</w:t>
      </w:r>
      <w:r>
        <w:t xml:space="preserve"> previous report</w:t>
      </w:r>
      <w:r w:rsidR="00236954" w:rsidRPr="00236954">
        <w:t xml:space="preserve"> </w:t>
      </w:r>
      <w:r w:rsidR="00236954">
        <w:t>appended</w:t>
      </w:r>
      <w:r>
        <w:t>.</w:t>
      </w:r>
    </w:p>
    <w:p w:rsidR="00236954" w:rsidRDefault="00236954" w:rsidP="00FC00C4"/>
    <w:p w:rsidR="00236954" w:rsidRDefault="00236954" w:rsidP="00FC00C4">
      <w:r>
        <w:rPr>
          <w:b/>
        </w:rPr>
        <w:t>Conclusion:</w:t>
      </w:r>
    </w:p>
    <w:p w:rsidR="00236954" w:rsidRDefault="00236954" w:rsidP="00FC00C4"/>
    <w:p w:rsidR="00236954" w:rsidRDefault="00236954" w:rsidP="005F1BAC">
      <w:pPr>
        <w:pStyle w:val="ListParagraph"/>
        <w:numPr>
          <w:ilvl w:val="0"/>
          <w:numId w:val="6"/>
        </w:numPr>
      </w:pPr>
      <w:r>
        <w:t xml:space="preserve">In light of the recent Appeal Decision residential accommodation is now acceptable in this location and student accommodation would not be unacceptable in this sustainable location subject to conditions.  Officers’ therefore recommend approval subject to and including conditions and </w:t>
      </w:r>
      <w:r w:rsidR="00EF73B7">
        <w:t xml:space="preserve">the satisfactory completion of </w:t>
      </w:r>
      <w:r>
        <w:t>a S106 to secure a contribution to affordable housing.</w:t>
      </w:r>
    </w:p>
    <w:p w:rsidR="00236954" w:rsidRDefault="00236954" w:rsidP="00FC00C4"/>
    <w:p w:rsidR="005F1BAC" w:rsidRDefault="005F1BAC" w:rsidP="005F1BAC">
      <w:pPr>
        <w:spacing w:after="240"/>
        <w:jc w:val="both"/>
        <w:rPr>
          <w:b/>
        </w:rPr>
      </w:pPr>
    </w:p>
    <w:p w:rsidR="005F1BAC" w:rsidRPr="007B1CF3" w:rsidRDefault="005F1BAC" w:rsidP="005F1BAC">
      <w:pPr>
        <w:spacing w:after="240"/>
        <w:jc w:val="both"/>
        <w:rPr>
          <w:b/>
        </w:rPr>
      </w:pPr>
      <w:r w:rsidRPr="007B1CF3">
        <w:rPr>
          <w:b/>
        </w:rPr>
        <w:t>Human Rights Act 1998</w:t>
      </w:r>
    </w:p>
    <w:p w:rsidR="005F1BAC" w:rsidRDefault="005F1BAC" w:rsidP="005F1BAC">
      <w:pPr>
        <w:spacing w:after="240"/>
        <w:jc w:val="both"/>
      </w:pPr>
      <w:r w:rsidRPr="00F8072A">
        <w:t xml:space="preserve">Officers have considered the implications of the Human Rights Act 1998 in reaching a recommendation to </w:t>
      </w:r>
      <w:r>
        <w:t>approve</w:t>
      </w:r>
      <w:r w:rsidRPr="00F8072A">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5F1BAC" w:rsidRPr="007B1CF3" w:rsidRDefault="005F1BAC" w:rsidP="005F1BAC">
      <w:pPr>
        <w:spacing w:after="240"/>
        <w:jc w:val="both"/>
        <w:rPr>
          <w:b/>
        </w:rPr>
      </w:pPr>
      <w:r w:rsidRPr="007B1CF3">
        <w:rPr>
          <w:b/>
        </w:rPr>
        <w:t>Section 17 of the Crime and Disorder Act 1998</w:t>
      </w:r>
    </w:p>
    <w:p w:rsidR="005F1BAC" w:rsidRPr="00F8072A" w:rsidRDefault="005F1BAC" w:rsidP="005F1BAC">
      <w:pPr>
        <w:spacing w:after="240"/>
        <w:jc w:val="both"/>
      </w:pPr>
      <w:r w:rsidRPr="00CF6638">
        <w:t>Officers have considered, with due regard, the likely effect of the proposal on the need to reduce crime and disorder as part of the determination of this application, in accordance with section 17 of the Crime and Disorder Act 1998.  In reaching a recommendation to refuse, officers consider that the proposal will not undermine crime prevention or the promotion of community safety.</w:t>
      </w:r>
    </w:p>
    <w:p w:rsidR="005F1BAC" w:rsidRDefault="005F1BAC" w:rsidP="005F1BAC">
      <w:pPr>
        <w:ind w:right="397"/>
        <w:jc w:val="both"/>
      </w:pPr>
    </w:p>
    <w:p w:rsidR="005F1BAC" w:rsidRPr="005F1BAC" w:rsidRDefault="005F1BAC" w:rsidP="005F1BAC">
      <w:pPr>
        <w:ind w:right="397"/>
        <w:jc w:val="both"/>
      </w:pPr>
      <w:r>
        <w:rPr>
          <w:b/>
          <w:bCs/>
        </w:rPr>
        <w:t xml:space="preserve">Background Papers: </w:t>
      </w:r>
      <w:r w:rsidRPr="005F1BAC">
        <w:rPr>
          <w:bCs/>
        </w:rPr>
        <w:t>15/02542/OUT</w:t>
      </w:r>
      <w:r>
        <w:rPr>
          <w:bCs/>
        </w:rPr>
        <w:t xml:space="preserve">, </w:t>
      </w:r>
      <w:r w:rsidRPr="005F1BAC">
        <w:t>15/00360/B56, 14/03204/OUT, 15/00597/OUT</w:t>
      </w:r>
      <w:r>
        <w:t xml:space="preserve"> and respective Appeal Decision(s). </w:t>
      </w:r>
    </w:p>
    <w:p w:rsidR="005F1BAC" w:rsidRDefault="005F1BAC" w:rsidP="005F1BAC">
      <w:r>
        <w:rPr>
          <w:b/>
          <w:bCs/>
        </w:rPr>
        <w:t xml:space="preserve">Contact Officer: </w:t>
      </w:r>
      <w:r w:rsidRPr="005F1BAC">
        <w:rPr>
          <w:bCs/>
        </w:rPr>
        <w:t>Felicity Byrne</w:t>
      </w:r>
    </w:p>
    <w:p w:rsidR="005F1BAC" w:rsidRDefault="005F1BAC" w:rsidP="005F1BAC">
      <w:r>
        <w:rPr>
          <w:b/>
          <w:bCs/>
        </w:rPr>
        <w:t xml:space="preserve">Extension: </w:t>
      </w:r>
      <w:r w:rsidRPr="005F1BAC">
        <w:rPr>
          <w:bCs/>
        </w:rPr>
        <w:t>2159</w:t>
      </w:r>
    </w:p>
    <w:p w:rsidR="005F1BAC" w:rsidRDefault="005F1BAC" w:rsidP="005F1BAC">
      <w:r>
        <w:rPr>
          <w:b/>
          <w:bCs/>
        </w:rPr>
        <w:t xml:space="preserve">Date: </w:t>
      </w:r>
      <w:r w:rsidRPr="005F1BAC">
        <w:rPr>
          <w:bCs/>
        </w:rPr>
        <w:t>March 2015</w:t>
      </w:r>
    </w:p>
    <w:p w:rsidR="00055421" w:rsidRPr="00236954" w:rsidRDefault="00055421" w:rsidP="00FC00C4"/>
    <w:sectPr w:rsidR="00055421" w:rsidRPr="00236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0A45"/>
    <w:multiLevelType w:val="hybridMultilevel"/>
    <w:tmpl w:val="DB749CF6"/>
    <w:lvl w:ilvl="0" w:tplc="7CA8C71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CC805AE"/>
    <w:multiLevelType w:val="hybridMultilevel"/>
    <w:tmpl w:val="2C30A1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DB4417"/>
    <w:multiLevelType w:val="hybridMultilevel"/>
    <w:tmpl w:val="E81E4870"/>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9F2C04"/>
    <w:multiLevelType w:val="hybridMultilevel"/>
    <w:tmpl w:val="BA8ACC6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5B6170C8"/>
    <w:multiLevelType w:val="hybridMultilevel"/>
    <w:tmpl w:val="1244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264FDC"/>
    <w:multiLevelType w:val="hybridMultilevel"/>
    <w:tmpl w:val="F5068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CE"/>
    <w:rsid w:val="00016BC0"/>
    <w:rsid w:val="00055421"/>
    <w:rsid w:val="000A742E"/>
    <w:rsid w:val="000B4310"/>
    <w:rsid w:val="000F5202"/>
    <w:rsid w:val="001A7A5C"/>
    <w:rsid w:val="00236954"/>
    <w:rsid w:val="002B5097"/>
    <w:rsid w:val="002F2F3E"/>
    <w:rsid w:val="004000D7"/>
    <w:rsid w:val="00463813"/>
    <w:rsid w:val="0047332B"/>
    <w:rsid w:val="004C1B1A"/>
    <w:rsid w:val="00504E43"/>
    <w:rsid w:val="005360CE"/>
    <w:rsid w:val="005E7813"/>
    <w:rsid w:val="005F1BAC"/>
    <w:rsid w:val="006230A6"/>
    <w:rsid w:val="00656FCA"/>
    <w:rsid w:val="0067001D"/>
    <w:rsid w:val="00681A63"/>
    <w:rsid w:val="006A5F54"/>
    <w:rsid w:val="006A795D"/>
    <w:rsid w:val="006B1201"/>
    <w:rsid w:val="00710D39"/>
    <w:rsid w:val="00723528"/>
    <w:rsid w:val="007348F7"/>
    <w:rsid w:val="00746F41"/>
    <w:rsid w:val="007833F9"/>
    <w:rsid w:val="007908F4"/>
    <w:rsid w:val="00807486"/>
    <w:rsid w:val="00847B57"/>
    <w:rsid w:val="008779F7"/>
    <w:rsid w:val="008A22C6"/>
    <w:rsid w:val="008B74AE"/>
    <w:rsid w:val="00951DFB"/>
    <w:rsid w:val="009D3D9B"/>
    <w:rsid w:val="009E1D61"/>
    <w:rsid w:val="00A55649"/>
    <w:rsid w:val="00A674D7"/>
    <w:rsid w:val="00AA2CC3"/>
    <w:rsid w:val="00AA5611"/>
    <w:rsid w:val="00AA6C10"/>
    <w:rsid w:val="00B0410A"/>
    <w:rsid w:val="00B06A1E"/>
    <w:rsid w:val="00B83E5A"/>
    <w:rsid w:val="00BB769A"/>
    <w:rsid w:val="00C07F80"/>
    <w:rsid w:val="00C13588"/>
    <w:rsid w:val="00C90519"/>
    <w:rsid w:val="00CA44E3"/>
    <w:rsid w:val="00D024C2"/>
    <w:rsid w:val="00D14B87"/>
    <w:rsid w:val="00D72ED8"/>
    <w:rsid w:val="00D77584"/>
    <w:rsid w:val="00D9172F"/>
    <w:rsid w:val="00DF2CE2"/>
    <w:rsid w:val="00E714B9"/>
    <w:rsid w:val="00E87737"/>
    <w:rsid w:val="00E935DF"/>
    <w:rsid w:val="00EB7BC9"/>
    <w:rsid w:val="00EE7492"/>
    <w:rsid w:val="00EF26F1"/>
    <w:rsid w:val="00EF73B7"/>
    <w:rsid w:val="00F34224"/>
    <w:rsid w:val="00F72EEA"/>
    <w:rsid w:val="00F7477B"/>
    <w:rsid w:val="00FA1781"/>
    <w:rsid w:val="00FC00C4"/>
    <w:rsid w:val="00FC1CEC"/>
    <w:rsid w:val="00FD3A85"/>
    <w:rsid w:val="00FE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CE"/>
    <w:pPr>
      <w:ind w:left="720"/>
      <w:contextualSpacing/>
    </w:pPr>
  </w:style>
  <w:style w:type="paragraph" w:styleId="BodyText2">
    <w:name w:val="Body Text 2"/>
    <w:basedOn w:val="Normal"/>
    <w:link w:val="BodyText2Char"/>
    <w:uiPriority w:val="99"/>
    <w:semiHidden/>
    <w:unhideWhenUsed/>
    <w:rsid w:val="000F5202"/>
    <w:pPr>
      <w:spacing w:after="120" w:line="480" w:lineRule="auto"/>
    </w:pPr>
  </w:style>
  <w:style w:type="character" w:customStyle="1" w:styleId="BodyText2Char">
    <w:name w:val="Body Text 2 Char"/>
    <w:basedOn w:val="DefaultParagraphFont"/>
    <w:link w:val="BodyText2"/>
    <w:uiPriority w:val="99"/>
    <w:semiHidden/>
    <w:rsid w:val="000F5202"/>
  </w:style>
  <w:style w:type="paragraph" w:styleId="BalloonText">
    <w:name w:val="Balloon Text"/>
    <w:basedOn w:val="Normal"/>
    <w:link w:val="BalloonTextChar"/>
    <w:uiPriority w:val="99"/>
    <w:semiHidden/>
    <w:unhideWhenUsed/>
    <w:rsid w:val="009D3D9B"/>
    <w:rPr>
      <w:rFonts w:ascii="Tahoma" w:hAnsi="Tahoma" w:cs="Tahoma"/>
      <w:sz w:val="16"/>
      <w:szCs w:val="16"/>
    </w:rPr>
  </w:style>
  <w:style w:type="character" w:customStyle="1" w:styleId="BalloonTextChar">
    <w:name w:val="Balloon Text Char"/>
    <w:basedOn w:val="DefaultParagraphFont"/>
    <w:link w:val="BalloonText"/>
    <w:uiPriority w:val="99"/>
    <w:semiHidden/>
    <w:rsid w:val="009D3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CE"/>
    <w:pPr>
      <w:ind w:left="720"/>
      <w:contextualSpacing/>
    </w:pPr>
  </w:style>
  <w:style w:type="paragraph" w:styleId="BodyText2">
    <w:name w:val="Body Text 2"/>
    <w:basedOn w:val="Normal"/>
    <w:link w:val="BodyText2Char"/>
    <w:uiPriority w:val="99"/>
    <w:semiHidden/>
    <w:unhideWhenUsed/>
    <w:rsid w:val="000F5202"/>
    <w:pPr>
      <w:spacing w:after="120" w:line="480" w:lineRule="auto"/>
    </w:pPr>
  </w:style>
  <w:style w:type="character" w:customStyle="1" w:styleId="BodyText2Char">
    <w:name w:val="Body Text 2 Char"/>
    <w:basedOn w:val="DefaultParagraphFont"/>
    <w:link w:val="BodyText2"/>
    <w:uiPriority w:val="99"/>
    <w:semiHidden/>
    <w:rsid w:val="000F5202"/>
  </w:style>
  <w:style w:type="paragraph" w:styleId="BalloonText">
    <w:name w:val="Balloon Text"/>
    <w:basedOn w:val="Normal"/>
    <w:link w:val="BalloonTextChar"/>
    <w:uiPriority w:val="99"/>
    <w:semiHidden/>
    <w:unhideWhenUsed/>
    <w:rsid w:val="009D3D9B"/>
    <w:rPr>
      <w:rFonts w:ascii="Tahoma" w:hAnsi="Tahoma" w:cs="Tahoma"/>
      <w:sz w:val="16"/>
      <w:szCs w:val="16"/>
    </w:rPr>
  </w:style>
  <w:style w:type="character" w:customStyle="1" w:styleId="BalloonTextChar">
    <w:name w:val="Balloon Text Char"/>
    <w:basedOn w:val="DefaultParagraphFont"/>
    <w:link w:val="BalloonText"/>
    <w:uiPriority w:val="99"/>
    <w:semiHidden/>
    <w:rsid w:val="009D3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0222">
      <w:bodyDiv w:val="1"/>
      <w:marLeft w:val="0"/>
      <w:marRight w:val="0"/>
      <w:marTop w:val="0"/>
      <w:marBottom w:val="0"/>
      <w:divBdr>
        <w:top w:val="none" w:sz="0" w:space="0" w:color="auto"/>
        <w:left w:val="none" w:sz="0" w:space="0" w:color="auto"/>
        <w:bottom w:val="none" w:sz="0" w:space="0" w:color="auto"/>
        <w:right w:val="none" w:sz="0" w:space="0" w:color="auto"/>
      </w:divBdr>
    </w:div>
    <w:div w:id="10276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CD54-9EBD-473D-9AE8-14010F9D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86C92C71</Template>
  <TotalTime>1</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felicity.byrne</dc:creator>
  <cp:lastModifiedBy>PHYTHIAN Catherine</cp:lastModifiedBy>
  <cp:revision>3</cp:revision>
  <dcterms:created xsi:type="dcterms:W3CDTF">2016-03-29T12:35:00Z</dcterms:created>
  <dcterms:modified xsi:type="dcterms:W3CDTF">2016-03-29T13:06:00Z</dcterms:modified>
</cp:coreProperties>
</file>